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E1871" w14:textId="77777777" w:rsidR="00FA121E" w:rsidRDefault="00FA121E" w:rsidP="00FA121E">
      <w:pPr>
        <w:ind w:left="11880"/>
        <w:rPr>
          <w:sz w:val="28"/>
          <w:szCs w:val="28"/>
        </w:rPr>
      </w:pPr>
      <w:bookmarkStart w:id="0" w:name="_Hlk181603049"/>
      <w:r>
        <w:rPr>
          <w:sz w:val="28"/>
          <w:szCs w:val="28"/>
        </w:rPr>
        <w:t>ЗАТВЕРДЖЕНО</w:t>
      </w:r>
    </w:p>
    <w:p w14:paraId="132C91C0" w14:textId="77777777" w:rsidR="00FA121E" w:rsidRDefault="00FA121E" w:rsidP="00FA121E">
      <w:pPr>
        <w:spacing w:line="360" w:lineRule="auto"/>
        <w:ind w:left="11880"/>
        <w:rPr>
          <w:sz w:val="28"/>
          <w:szCs w:val="28"/>
        </w:rPr>
      </w:pPr>
      <w:r>
        <w:rPr>
          <w:sz w:val="28"/>
          <w:szCs w:val="28"/>
        </w:rPr>
        <w:t>Рішення виконавчого комітету</w:t>
      </w:r>
    </w:p>
    <w:p w14:paraId="2FE03F67" w14:textId="77777777" w:rsidR="00FA121E" w:rsidRPr="00FA16B8" w:rsidRDefault="00FA121E" w:rsidP="00FA121E">
      <w:pPr>
        <w:ind w:left="11880"/>
        <w:rPr>
          <w:sz w:val="28"/>
          <w:szCs w:val="28"/>
        </w:rPr>
      </w:pPr>
      <w:r>
        <w:rPr>
          <w:sz w:val="28"/>
          <w:szCs w:val="28"/>
          <w:u w:val="single"/>
        </w:rPr>
        <w:t xml:space="preserve">від 02 квітня 2025 року </w:t>
      </w:r>
      <w:r w:rsidRPr="003C46E5">
        <w:rPr>
          <w:sz w:val="28"/>
          <w:szCs w:val="28"/>
          <w:u w:val="single"/>
        </w:rPr>
        <w:t xml:space="preserve">№ </w:t>
      </w:r>
      <w:r w:rsidRPr="00C005BC">
        <w:rPr>
          <w:sz w:val="28"/>
          <w:szCs w:val="28"/>
          <w:u w:val="single"/>
        </w:rPr>
        <w:t>383</w:t>
      </w:r>
    </w:p>
    <w:p w14:paraId="48ED254A" w14:textId="77777777" w:rsidR="00FA121E" w:rsidRDefault="00FA121E" w:rsidP="00FA1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Об’єкт конкурсу</w:t>
      </w:r>
    </w:p>
    <w:p w14:paraId="4CBC5DAD" w14:textId="77777777" w:rsidR="00FA121E" w:rsidRDefault="00FA121E" w:rsidP="00FA1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color w:val="000000"/>
          <w:sz w:val="28"/>
          <w:szCs w:val="28"/>
        </w:rPr>
        <w:t xml:space="preserve">на перевезення пасажирів </w:t>
      </w:r>
      <w:r>
        <w:rPr>
          <w:sz w:val="28"/>
          <w:szCs w:val="28"/>
        </w:rPr>
        <w:t xml:space="preserve">на приміському автобусному маршруті </w:t>
      </w:r>
      <w:r w:rsidRPr="00E16A0E">
        <w:rPr>
          <w:sz w:val="28"/>
          <w:szCs w:val="28"/>
        </w:rPr>
        <w:t>у Нововолинській територіальній громаді</w:t>
      </w:r>
    </w:p>
    <w:tbl>
      <w:tblPr>
        <w:tblW w:w="14382" w:type="dxa"/>
        <w:jc w:val="center"/>
        <w:tblLayout w:type="fixed"/>
        <w:tblLook w:val="00A0" w:firstRow="1" w:lastRow="0" w:firstColumn="1" w:lastColumn="0" w:noHBand="0" w:noVBand="0"/>
      </w:tblPr>
      <w:tblGrid>
        <w:gridCol w:w="788"/>
        <w:gridCol w:w="1222"/>
        <w:gridCol w:w="1755"/>
        <w:gridCol w:w="7938"/>
        <w:gridCol w:w="1134"/>
        <w:gridCol w:w="1545"/>
      </w:tblGrid>
      <w:tr w:rsidR="00FA121E" w14:paraId="79AAF64D" w14:textId="77777777" w:rsidTr="00717085">
        <w:trPr>
          <w:cantSplit/>
          <w:trHeight w:val="685"/>
          <w:jc w:val="center"/>
        </w:trPr>
        <w:tc>
          <w:tcPr>
            <w:tcW w:w="788" w:type="dxa"/>
            <w:tcBorders>
              <w:top w:val="single" w:sz="4" w:space="0" w:color="auto"/>
              <w:left w:val="single" w:sz="4" w:space="0" w:color="auto"/>
              <w:bottom w:val="single" w:sz="4" w:space="0" w:color="auto"/>
              <w:right w:val="nil"/>
            </w:tcBorders>
            <w:vAlign w:val="center"/>
          </w:tcPr>
          <w:p w14:paraId="71628EDC" w14:textId="77777777" w:rsidR="00FA121E" w:rsidRPr="002511CE" w:rsidRDefault="00FA121E" w:rsidP="00717085">
            <w:pPr>
              <w:ind w:left="-119" w:right="-121"/>
              <w:jc w:val="center"/>
              <w:rPr>
                <w:sz w:val="24"/>
                <w:szCs w:val="24"/>
              </w:rPr>
            </w:pPr>
            <w:r w:rsidRPr="002511CE">
              <w:rPr>
                <w:sz w:val="24"/>
                <w:szCs w:val="24"/>
              </w:rPr>
              <w:t>№ об’єкту</w:t>
            </w:r>
          </w:p>
        </w:tc>
        <w:tc>
          <w:tcPr>
            <w:tcW w:w="1222" w:type="dxa"/>
            <w:tcBorders>
              <w:top w:val="single" w:sz="4" w:space="0" w:color="auto"/>
              <w:left w:val="single" w:sz="4" w:space="0" w:color="000000"/>
              <w:bottom w:val="single" w:sz="4" w:space="0" w:color="auto"/>
              <w:right w:val="nil"/>
            </w:tcBorders>
            <w:vAlign w:val="center"/>
          </w:tcPr>
          <w:p w14:paraId="6D0F8608" w14:textId="77777777" w:rsidR="00FA121E" w:rsidRPr="002511CE" w:rsidRDefault="00FA121E" w:rsidP="00717085">
            <w:pPr>
              <w:ind w:left="-119" w:right="-121"/>
              <w:jc w:val="center"/>
              <w:rPr>
                <w:sz w:val="24"/>
                <w:szCs w:val="24"/>
              </w:rPr>
            </w:pPr>
            <w:r w:rsidRPr="002511CE">
              <w:rPr>
                <w:sz w:val="24"/>
                <w:szCs w:val="24"/>
              </w:rPr>
              <w:t>№ маршруту</w:t>
            </w:r>
          </w:p>
        </w:tc>
        <w:tc>
          <w:tcPr>
            <w:tcW w:w="1755" w:type="dxa"/>
            <w:tcBorders>
              <w:top w:val="single" w:sz="4" w:space="0" w:color="auto"/>
              <w:left w:val="single" w:sz="4" w:space="0" w:color="000000"/>
              <w:bottom w:val="single" w:sz="4" w:space="0" w:color="auto"/>
              <w:right w:val="nil"/>
            </w:tcBorders>
            <w:vAlign w:val="center"/>
          </w:tcPr>
          <w:p w14:paraId="0795C158" w14:textId="77777777" w:rsidR="00FA121E" w:rsidRPr="002511CE" w:rsidRDefault="00FA121E" w:rsidP="00717085">
            <w:pPr>
              <w:ind w:left="-119" w:right="-121"/>
              <w:jc w:val="center"/>
              <w:rPr>
                <w:sz w:val="24"/>
                <w:szCs w:val="24"/>
              </w:rPr>
            </w:pPr>
            <w:r w:rsidRPr="002511CE">
              <w:rPr>
                <w:sz w:val="24"/>
                <w:szCs w:val="24"/>
              </w:rPr>
              <w:t>Назва маршруту</w:t>
            </w:r>
          </w:p>
        </w:tc>
        <w:tc>
          <w:tcPr>
            <w:tcW w:w="7938" w:type="dxa"/>
            <w:tcBorders>
              <w:top w:val="single" w:sz="4" w:space="0" w:color="auto"/>
              <w:left w:val="single" w:sz="4" w:space="0" w:color="000000"/>
              <w:bottom w:val="single" w:sz="4" w:space="0" w:color="auto"/>
              <w:right w:val="single" w:sz="4" w:space="0" w:color="000000"/>
            </w:tcBorders>
            <w:vAlign w:val="center"/>
          </w:tcPr>
          <w:p w14:paraId="1726F7C1" w14:textId="77777777" w:rsidR="00FA121E" w:rsidRPr="002511CE" w:rsidRDefault="00FA121E" w:rsidP="00717085">
            <w:pPr>
              <w:ind w:left="-119" w:right="-121"/>
              <w:jc w:val="center"/>
              <w:rPr>
                <w:sz w:val="24"/>
                <w:szCs w:val="24"/>
              </w:rPr>
            </w:pPr>
            <w:r w:rsidRPr="002511CE">
              <w:rPr>
                <w:sz w:val="24"/>
                <w:szCs w:val="24"/>
              </w:rPr>
              <w:t>Час відправлення з початкового пункту</w:t>
            </w:r>
          </w:p>
        </w:tc>
        <w:tc>
          <w:tcPr>
            <w:tcW w:w="1134" w:type="dxa"/>
            <w:tcBorders>
              <w:top w:val="single" w:sz="4" w:space="0" w:color="auto"/>
              <w:left w:val="single" w:sz="4" w:space="0" w:color="000000"/>
              <w:bottom w:val="single" w:sz="4" w:space="0" w:color="auto"/>
              <w:right w:val="single" w:sz="4" w:space="0" w:color="auto"/>
            </w:tcBorders>
            <w:vAlign w:val="center"/>
          </w:tcPr>
          <w:p w14:paraId="4CFB7616" w14:textId="77777777" w:rsidR="00FA121E" w:rsidRPr="002511CE" w:rsidRDefault="00FA121E" w:rsidP="00717085">
            <w:pPr>
              <w:ind w:left="-119" w:right="-121"/>
              <w:jc w:val="center"/>
              <w:rPr>
                <w:sz w:val="24"/>
                <w:szCs w:val="24"/>
              </w:rPr>
            </w:pPr>
            <w:r w:rsidRPr="002511CE">
              <w:rPr>
                <w:sz w:val="24"/>
                <w:szCs w:val="24"/>
              </w:rPr>
              <w:t>Режим руху</w:t>
            </w:r>
          </w:p>
        </w:tc>
        <w:tc>
          <w:tcPr>
            <w:tcW w:w="1545" w:type="dxa"/>
            <w:tcBorders>
              <w:top w:val="single" w:sz="4" w:space="0" w:color="auto"/>
              <w:left w:val="single" w:sz="4" w:space="0" w:color="auto"/>
              <w:bottom w:val="single" w:sz="4" w:space="0" w:color="auto"/>
              <w:right w:val="single" w:sz="4" w:space="0" w:color="auto"/>
            </w:tcBorders>
            <w:vAlign w:val="center"/>
          </w:tcPr>
          <w:p w14:paraId="65EE1510" w14:textId="77777777" w:rsidR="00FA121E" w:rsidRPr="002511CE" w:rsidRDefault="00FA121E" w:rsidP="00717085">
            <w:pPr>
              <w:ind w:left="-119" w:right="-121"/>
              <w:jc w:val="center"/>
              <w:rPr>
                <w:sz w:val="24"/>
                <w:szCs w:val="24"/>
              </w:rPr>
            </w:pPr>
            <w:r w:rsidRPr="002511CE">
              <w:rPr>
                <w:sz w:val="24"/>
                <w:szCs w:val="24"/>
              </w:rPr>
              <w:t>Періодичність</w:t>
            </w:r>
          </w:p>
        </w:tc>
      </w:tr>
      <w:tr w:rsidR="00FA121E" w14:paraId="725E7161" w14:textId="77777777" w:rsidTr="00717085">
        <w:trPr>
          <w:trHeight w:val="1206"/>
          <w:jc w:val="center"/>
        </w:trPr>
        <w:tc>
          <w:tcPr>
            <w:tcW w:w="788" w:type="dxa"/>
            <w:vMerge w:val="restart"/>
            <w:tcBorders>
              <w:top w:val="single" w:sz="4" w:space="0" w:color="auto"/>
              <w:left w:val="single" w:sz="4" w:space="0" w:color="auto"/>
              <w:right w:val="single" w:sz="4" w:space="0" w:color="auto"/>
            </w:tcBorders>
            <w:vAlign w:val="center"/>
          </w:tcPr>
          <w:p w14:paraId="2EB7F2F7" w14:textId="77777777" w:rsidR="00FA121E" w:rsidRPr="00407C25" w:rsidRDefault="00FA121E" w:rsidP="00717085">
            <w:pPr>
              <w:ind w:left="-119" w:right="-121"/>
              <w:jc w:val="center"/>
              <w:rPr>
                <w:sz w:val="24"/>
                <w:szCs w:val="24"/>
              </w:rPr>
            </w:pPr>
            <w:r>
              <w:rPr>
                <w:sz w:val="24"/>
                <w:szCs w:val="24"/>
              </w:rPr>
              <w:t>1</w:t>
            </w:r>
          </w:p>
        </w:tc>
        <w:tc>
          <w:tcPr>
            <w:tcW w:w="1222" w:type="dxa"/>
            <w:tcBorders>
              <w:top w:val="single" w:sz="4" w:space="0" w:color="auto"/>
              <w:left w:val="single" w:sz="4" w:space="0" w:color="auto"/>
              <w:bottom w:val="single" w:sz="4" w:space="0" w:color="auto"/>
              <w:right w:val="single" w:sz="4" w:space="0" w:color="auto"/>
            </w:tcBorders>
            <w:vAlign w:val="center"/>
          </w:tcPr>
          <w:p w14:paraId="61F0C578" w14:textId="77777777" w:rsidR="00FA121E" w:rsidRDefault="00FA121E" w:rsidP="00717085">
            <w:pPr>
              <w:ind w:left="-119" w:right="-121"/>
              <w:jc w:val="center"/>
              <w:rPr>
                <w:sz w:val="24"/>
                <w:szCs w:val="24"/>
              </w:rPr>
            </w:pPr>
            <w:r>
              <w:rPr>
                <w:sz w:val="24"/>
                <w:szCs w:val="24"/>
              </w:rPr>
              <w:t>7</w:t>
            </w:r>
          </w:p>
          <w:p w14:paraId="6CD48154" w14:textId="77777777" w:rsidR="00FA121E" w:rsidRDefault="00FA121E" w:rsidP="00717085">
            <w:pPr>
              <w:ind w:left="-119" w:right="-121"/>
              <w:jc w:val="center"/>
              <w:rPr>
                <w:sz w:val="24"/>
                <w:szCs w:val="24"/>
              </w:rPr>
            </w:pPr>
          </w:p>
        </w:tc>
        <w:tc>
          <w:tcPr>
            <w:tcW w:w="1755" w:type="dxa"/>
            <w:tcBorders>
              <w:top w:val="single" w:sz="4" w:space="0" w:color="auto"/>
              <w:left w:val="single" w:sz="4" w:space="0" w:color="auto"/>
              <w:bottom w:val="single" w:sz="4" w:space="0" w:color="auto"/>
              <w:right w:val="single" w:sz="4" w:space="0" w:color="auto"/>
            </w:tcBorders>
            <w:vAlign w:val="center"/>
          </w:tcPr>
          <w:p w14:paraId="2F727392" w14:textId="77777777" w:rsidR="00FA121E" w:rsidRDefault="00FA121E" w:rsidP="00717085">
            <w:pPr>
              <w:ind w:left="-119" w:right="-121"/>
              <w:jc w:val="center"/>
              <w:rPr>
                <w:sz w:val="24"/>
                <w:szCs w:val="24"/>
              </w:rPr>
            </w:pPr>
            <w:r>
              <w:rPr>
                <w:sz w:val="24"/>
                <w:szCs w:val="24"/>
              </w:rPr>
              <w:t xml:space="preserve">«Нововолинськ - Гряди» </w:t>
            </w:r>
          </w:p>
        </w:tc>
        <w:tc>
          <w:tcPr>
            <w:tcW w:w="7938" w:type="dxa"/>
            <w:tcBorders>
              <w:top w:val="single" w:sz="4" w:space="0" w:color="auto"/>
              <w:left w:val="single" w:sz="4" w:space="0" w:color="auto"/>
              <w:bottom w:val="single" w:sz="4" w:space="0" w:color="auto"/>
              <w:right w:val="single" w:sz="4" w:space="0" w:color="auto"/>
            </w:tcBorders>
            <w:vAlign w:val="center"/>
          </w:tcPr>
          <w:p w14:paraId="54C86BD9" w14:textId="77777777" w:rsidR="00FA121E" w:rsidRPr="00870821" w:rsidRDefault="00FA121E" w:rsidP="00717085">
            <w:pPr>
              <w:jc w:val="center"/>
              <w:rPr>
                <w:sz w:val="28"/>
                <w:szCs w:val="28"/>
              </w:rPr>
            </w:pPr>
            <w:r>
              <w:rPr>
                <w:sz w:val="28"/>
                <w:szCs w:val="28"/>
              </w:rPr>
              <w:t>06:40, 07:45, 09:20, 11:25*, 13:15, 15:25**, 16:35, 19:15.</w:t>
            </w:r>
          </w:p>
        </w:tc>
        <w:tc>
          <w:tcPr>
            <w:tcW w:w="1134" w:type="dxa"/>
            <w:tcBorders>
              <w:top w:val="single" w:sz="4" w:space="0" w:color="auto"/>
              <w:left w:val="single" w:sz="4" w:space="0" w:color="auto"/>
              <w:bottom w:val="single" w:sz="4" w:space="0" w:color="auto"/>
              <w:right w:val="single" w:sz="4" w:space="0" w:color="auto"/>
            </w:tcBorders>
            <w:vAlign w:val="center"/>
          </w:tcPr>
          <w:p w14:paraId="27DE4C6F" w14:textId="77777777" w:rsidR="00FA121E" w:rsidRDefault="00FA121E" w:rsidP="00717085">
            <w:pPr>
              <w:ind w:left="-119" w:right="-121"/>
              <w:jc w:val="center"/>
              <w:rPr>
                <w:sz w:val="24"/>
                <w:szCs w:val="24"/>
              </w:rPr>
            </w:pPr>
            <w:r>
              <w:rPr>
                <w:sz w:val="24"/>
                <w:szCs w:val="24"/>
              </w:rPr>
              <w:t>звичайний</w:t>
            </w:r>
          </w:p>
        </w:tc>
        <w:tc>
          <w:tcPr>
            <w:tcW w:w="1545" w:type="dxa"/>
            <w:tcBorders>
              <w:top w:val="single" w:sz="4" w:space="0" w:color="auto"/>
              <w:left w:val="single" w:sz="4" w:space="0" w:color="auto"/>
              <w:bottom w:val="single" w:sz="4" w:space="0" w:color="auto"/>
              <w:right w:val="single" w:sz="4" w:space="0" w:color="auto"/>
            </w:tcBorders>
            <w:vAlign w:val="center"/>
          </w:tcPr>
          <w:p w14:paraId="162707AF" w14:textId="77777777" w:rsidR="00FA121E" w:rsidRDefault="00FA121E" w:rsidP="00717085">
            <w:pPr>
              <w:ind w:left="-119" w:right="-121"/>
              <w:jc w:val="center"/>
              <w:rPr>
                <w:sz w:val="24"/>
                <w:szCs w:val="24"/>
              </w:rPr>
            </w:pPr>
            <w:r>
              <w:rPr>
                <w:sz w:val="24"/>
                <w:szCs w:val="24"/>
              </w:rPr>
              <w:t xml:space="preserve">Будні, вихідні та святкові дні </w:t>
            </w:r>
          </w:p>
        </w:tc>
      </w:tr>
      <w:tr w:rsidR="00FA121E" w14:paraId="630D18BF" w14:textId="77777777" w:rsidTr="00717085">
        <w:trPr>
          <w:trHeight w:val="336"/>
          <w:jc w:val="center"/>
        </w:trPr>
        <w:tc>
          <w:tcPr>
            <w:tcW w:w="788" w:type="dxa"/>
            <w:vMerge/>
            <w:tcBorders>
              <w:left w:val="single" w:sz="4" w:space="0" w:color="auto"/>
              <w:right w:val="single" w:sz="4" w:space="0" w:color="auto"/>
            </w:tcBorders>
            <w:vAlign w:val="center"/>
          </w:tcPr>
          <w:p w14:paraId="2C3087E8" w14:textId="77777777" w:rsidR="00FA121E" w:rsidRDefault="00FA121E" w:rsidP="00717085">
            <w:pPr>
              <w:ind w:left="-119" w:right="-121"/>
              <w:jc w:val="center"/>
              <w:rPr>
                <w:sz w:val="24"/>
                <w:szCs w:val="24"/>
              </w:rPr>
            </w:pPr>
          </w:p>
        </w:tc>
        <w:tc>
          <w:tcPr>
            <w:tcW w:w="1222" w:type="dxa"/>
            <w:vMerge w:val="restart"/>
            <w:tcBorders>
              <w:top w:val="single" w:sz="4" w:space="0" w:color="auto"/>
              <w:left w:val="single" w:sz="4" w:space="0" w:color="auto"/>
              <w:right w:val="single" w:sz="4" w:space="0" w:color="auto"/>
            </w:tcBorders>
            <w:vAlign w:val="center"/>
          </w:tcPr>
          <w:p w14:paraId="5CDA97E3" w14:textId="77777777" w:rsidR="00FA121E" w:rsidRDefault="00FA121E" w:rsidP="00717085">
            <w:pPr>
              <w:ind w:left="-119" w:right="-121"/>
              <w:jc w:val="center"/>
              <w:rPr>
                <w:sz w:val="24"/>
                <w:szCs w:val="24"/>
              </w:rPr>
            </w:pPr>
            <w:r>
              <w:rPr>
                <w:sz w:val="24"/>
                <w:szCs w:val="24"/>
              </w:rPr>
              <w:t>7</w:t>
            </w:r>
          </w:p>
          <w:p w14:paraId="4901B9AE" w14:textId="77777777" w:rsidR="00FA121E" w:rsidRDefault="00FA121E" w:rsidP="00717085">
            <w:pPr>
              <w:ind w:left="-119" w:right="-121"/>
              <w:jc w:val="center"/>
              <w:rPr>
                <w:sz w:val="24"/>
                <w:szCs w:val="24"/>
              </w:rPr>
            </w:pPr>
          </w:p>
        </w:tc>
        <w:tc>
          <w:tcPr>
            <w:tcW w:w="1755" w:type="dxa"/>
            <w:vMerge w:val="restart"/>
            <w:tcBorders>
              <w:top w:val="single" w:sz="4" w:space="0" w:color="auto"/>
              <w:left w:val="single" w:sz="4" w:space="0" w:color="auto"/>
              <w:right w:val="single" w:sz="4" w:space="0" w:color="auto"/>
            </w:tcBorders>
            <w:vAlign w:val="center"/>
          </w:tcPr>
          <w:p w14:paraId="623D165C" w14:textId="77777777" w:rsidR="00FA121E" w:rsidRDefault="00FA121E" w:rsidP="00717085">
            <w:pPr>
              <w:ind w:left="-119" w:right="-121"/>
              <w:jc w:val="center"/>
              <w:rPr>
                <w:sz w:val="24"/>
                <w:szCs w:val="24"/>
              </w:rPr>
            </w:pPr>
            <w:r>
              <w:rPr>
                <w:sz w:val="24"/>
                <w:szCs w:val="24"/>
              </w:rPr>
              <w:t xml:space="preserve">«Гряди  - Нововолинськ» </w:t>
            </w:r>
          </w:p>
        </w:tc>
        <w:tc>
          <w:tcPr>
            <w:tcW w:w="7938" w:type="dxa"/>
            <w:tcBorders>
              <w:top w:val="single" w:sz="4" w:space="0" w:color="auto"/>
              <w:left w:val="single" w:sz="4" w:space="0" w:color="auto"/>
              <w:bottom w:val="single" w:sz="4" w:space="0" w:color="auto"/>
              <w:right w:val="single" w:sz="4" w:space="0" w:color="auto"/>
            </w:tcBorders>
            <w:vAlign w:val="center"/>
          </w:tcPr>
          <w:p w14:paraId="5C8FB291" w14:textId="77777777" w:rsidR="00FA121E" w:rsidRDefault="00FA121E" w:rsidP="00717085">
            <w:pPr>
              <w:jc w:val="center"/>
              <w:rPr>
                <w:sz w:val="28"/>
                <w:szCs w:val="28"/>
              </w:rPr>
            </w:pPr>
            <w:r w:rsidRPr="002511CE">
              <w:rPr>
                <w:sz w:val="24"/>
                <w:szCs w:val="24"/>
              </w:rPr>
              <w:t xml:space="preserve">Час відправлення з </w:t>
            </w:r>
            <w:r>
              <w:rPr>
                <w:sz w:val="24"/>
                <w:szCs w:val="24"/>
              </w:rPr>
              <w:t>кінцевого</w:t>
            </w:r>
            <w:r w:rsidRPr="002511CE">
              <w:rPr>
                <w:sz w:val="24"/>
                <w:szCs w:val="24"/>
              </w:rPr>
              <w:t xml:space="preserve"> пункту</w:t>
            </w:r>
          </w:p>
        </w:tc>
        <w:tc>
          <w:tcPr>
            <w:tcW w:w="1134" w:type="dxa"/>
            <w:vMerge w:val="restart"/>
            <w:tcBorders>
              <w:top w:val="single" w:sz="4" w:space="0" w:color="auto"/>
              <w:left w:val="single" w:sz="4" w:space="0" w:color="auto"/>
              <w:right w:val="single" w:sz="4" w:space="0" w:color="auto"/>
            </w:tcBorders>
            <w:vAlign w:val="center"/>
          </w:tcPr>
          <w:p w14:paraId="0FC25B24" w14:textId="77777777" w:rsidR="00FA121E" w:rsidRDefault="00FA121E" w:rsidP="00717085">
            <w:pPr>
              <w:ind w:left="-119" w:right="-121"/>
              <w:jc w:val="center"/>
              <w:rPr>
                <w:sz w:val="24"/>
                <w:szCs w:val="24"/>
              </w:rPr>
            </w:pPr>
            <w:r>
              <w:rPr>
                <w:sz w:val="24"/>
                <w:szCs w:val="24"/>
              </w:rPr>
              <w:t>звичайний</w:t>
            </w:r>
          </w:p>
        </w:tc>
        <w:tc>
          <w:tcPr>
            <w:tcW w:w="1545" w:type="dxa"/>
            <w:vMerge w:val="restart"/>
            <w:tcBorders>
              <w:top w:val="single" w:sz="4" w:space="0" w:color="auto"/>
              <w:left w:val="single" w:sz="4" w:space="0" w:color="auto"/>
              <w:right w:val="single" w:sz="4" w:space="0" w:color="auto"/>
            </w:tcBorders>
            <w:vAlign w:val="center"/>
          </w:tcPr>
          <w:p w14:paraId="2E2F2E39" w14:textId="77777777" w:rsidR="00FA121E" w:rsidRDefault="00FA121E" w:rsidP="00717085">
            <w:pPr>
              <w:ind w:left="-119" w:right="-121"/>
              <w:jc w:val="center"/>
              <w:rPr>
                <w:sz w:val="24"/>
                <w:szCs w:val="24"/>
              </w:rPr>
            </w:pPr>
            <w:r>
              <w:rPr>
                <w:sz w:val="24"/>
                <w:szCs w:val="24"/>
              </w:rPr>
              <w:t xml:space="preserve">Будні, вихідні та святкові дні </w:t>
            </w:r>
          </w:p>
        </w:tc>
      </w:tr>
      <w:tr w:rsidR="00FA121E" w14:paraId="2DBC58D0" w14:textId="77777777" w:rsidTr="00717085">
        <w:trPr>
          <w:trHeight w:val="855"/>
          <w:jc w:val="center"/>
        </w:trPr>
        <w:tc>
          <w:tcPr>
            <w:tcW w:w="788" w:type="dxa"/>
            <w:vMerge/>
            <w:tcBorders>
              <w:left w:val="single" w:sz="4" w:space="0" w:color="auto"/>
              <w:bottom w:val="single" w:sz="4" w:space="0" w:color="auto"/>
              <w:right w:val="single" w:sz="4" w:space="0" w:color="auto"/>
            </w:tcBorders>
            <w:vAlign w:val="center"/>
          </w:tcPr>
          <w:p w14:paraId="087B41A4" w14:textId="77777777" w:rsidR="00FA121E" w:rsidRDefault="00FA121E" w:rsidP="00717085">
            <w:pPr>
              <w:ind w:left="-119" w:right="-121"/>
              <w:jc w:val="center"/>
              <w:rPr>
                <w:sz w:val="24"/>
                <w:szCs w:val="24"/>
              </w:rPr>
            </w:pPr>
          </w:p>
        </w:tc>
        <w:tc>
          <w:tcPr>
            <w:tcW w:w="1222" w:type="dxa"/>
            <w:vMerge/>
            <w:tcBorders>
              <w:left w:val="single" w:sz="4" w:space="0" w:color="auto"/>
              <w:bottom w:val="single" w:sz="4" w:space="0" w:color="auto"/>
              <w:right w:val="single" w:sz="4" w:space="0" w:color="auto"/>
            </w:tcBorders>
            <w:vAlign w:val="center"/>
          </w:tcPr>
          <w:p w14:paraId="7B91D36B" w14:textId="77777777" w:rsidR="00FA121E" w:rsidRDefault="00FA121E" w:rsidP="00717085">
            <w:pPr>
              <w:ind w:left="-119" w:right="-121"/>
              <w:jc w:val="center"/>
              <w:rPr>
                <w:sz w:val="24"/>
                <w:szCs w:val="24"/>
              </w:rPr>
            </w:pPr>
          </w:p>
        </w:tc>
        <w:tc>
          <w:tcPr>
            <w:tcW w:w="1755" w:type="dxa"/>
            <w:vMerge/>
            <w:tcBorders>
              <w:left w:val="single" w:sz="4" w:space="0" w:color="auto"/>
              <w:bottom w:val="single" w:sz="4" w:space="0" w:color="auto"/>
              <w:right w:val="single" w:sz="4" w:space="0" w:color="auto"/>
            </w:tcBorders>
            <w:vAlign w:val="center"/>
          </w:tcPr>
          <w:p w14:paraId="24689B78" w14:textId="77777777" w:rsidR="00FA121E" w:rsidRDefault="00FA121E" w:rsidP="00717085">
            <w:pPr>
              <w:ind w:left="-119" w:right="-121"/>
              <w:jc w:val="center"/>
              <w:rPr>
                <w:sz w:val="24"/>
                <w:szCs w:val="24"/>
              </w:rPr>
            </w:pPr>
          </w:p>
        </w:tc>
        <w:tc>
          <w:tcPr>
            <w:tcW w:w="7938" w:type="dxa"/>
            <w:tcBorders>
              <w:top w:val="single" w:sz="4" w:space="0" w:color="auto"/>
              <w:left w:val="single" w:sz="4" w:space="0" w:color="auto"/>
              <w:bottom w:val="single" w:sz="4" w:space="0" w:color="auto"/>
              <w:right w:val="single" w:sz="4" w:space="0" w:color="auto"/>
            </w:tcBorders>
            <w:vAlign w:val="center"/>
          </w:tcPr>
          <w:p w14:paraId="5C211E23" w14:textId="77777777" w:rsidR="00FA121E" w:rsidRDefault="00FA121E" w:rsidP="00717085">
            <w:pPr>
              <w:jc w:val="center"/>
              <w:rPr>
                <w:sz w:val="28"/>
                <w:szCs w:val="28"/>
              </w:rPr>
            </w:pPr>
            <w:r>
              <w:rPr>
                <w:sz w:val="28"/>
                <w:szCs w:val="28"/>
              </w:rPr>
              <w:t>07:05, 08:30, 10:05, 11:55*, 14:00, 16:00**, 17:20, 19:55.</w:t>
            </w:r>
          </w:p>
        </w:tc>
        <w:tc>
          <w:tcPr>
            <w:tcW w:w="1134" w:type="dxa"/>
            <w:vMerge/>
            <w:tcBorders>
              <w:left w:val="single" w:sz="4" w:space="0" w:color="auto"/>
              <w:bottom w:val="single" w:sz="4" w:space="0" w:color="auto"/>
              <w:right w:val="single" w:sz="4" w:space="0" w:color="auto"/>
            </w:tcBorders>
            <w:vAlign w:val="center"/>
          </w:tcPr>
          <w:p w14:paraId="7D8E12DB" w14:textId="77777777" w:rsidR="00FA121E" w:rsidRDefault="00FA121E" w:rsidP="00717085">
            <w:pPr>
              <w:ind w:left="-119" w:right="-121"/>
              <w:jc w:val="center"/>
              <w:rPr>
                <w:sz w:val="24"/>
                <w:szCs w:val="24"/>
              </w:rPr>
            </w:pPr>
          </w:p>
        </w:tc>
        <w:tc>
          <w:tcPr>
            <w:tcW w:w="1545" w:type="dxa"/>
            <w:vMerge/>
            <w:tcBorders>
              <w:left w:val="single" w:sz="4" w:space="0" w:color="auto"/>
              <w:bottom w:val="single" w:sz="4" w:space="0" w:color="auto"/>
              <w:right w:val="single" w:sz="4" w:space="0" w:color="auto"/>
            </w:tcBorders>
            <w:vAlign w:val="center"/>
          </w:tcPr>
          <w:p w14:paraId="4E765C36" w14:textId="77777777" w:rsidR="00FA121E" w:rsidRDefault="00FA121E" w:rsidP="00717085">
            <w:pPr>
              <w:ind w:left="-119" w:right="-121"/>
              <w:jc w:val="center"/>
              <w:rPr>
                <w:sz w:val="24"/>
                <w:szCs w:val="24"/>
              </w:rPr>
            </w:pPr>
          </w:p>
        </w:tc>
      </w:tr>
    </w:tbl>
    <w:p w14:paraId="2DA7EB32" w14:textId="77777777" w:rsidR="00FA121E" w:rsidRDefault="00FA121E" w:rsidP="00FA121E">
      <w:pPr>
        <w:ind w:left="900"/>
        <w:jc w:val="both"/>
        <w:rPr>
          <w:sz w:val="24"/>
          <w:szCs w:val="24"/>
          <w:lang w:val="ru-RU"/>
        </w:rPr>
      </w:pPr>
    </w:p>
    <w:p w14:paraId="1DF6A985" w14:textId="77777777" w:rsidR="00FA121E" w:rsidRDefault="00FA121E" w:rsidP="00FA121E">
      <w:pPr>
        <w:ind w:left="900"/>
        <w:jc w:val="both"/>
        <w:rPr>
          <w:sz w:val="24"/>
          <w:szCs w:val="24"/>
          <w:lang w:val="ru-RU"/>
        </w:rPr>
      </w:pPr>
    </w:p>
    <w:p w14:paraId="1AD20A51" w14:textId="77777777" w:rsidR="00FA121E" w:rsidRDefault="00FA121E" w:rsidP="00FA121E">
      <w:pPr>
        <w:ind w:left="900"/>
        <w:jc w:val="both"/>
        <w:rPr>
          <w:sz w:val="24"/>
          <w:szCs w:val="24"/>
          <w:lang w:val="ru-RU"/>
        </w:rPr>
      </w:pPr>
      <w:r>
        <w:rPr>
          <w:sz w:val="24"/>
          <w:szCs w:val="24"/>
          <w:lang w:val="ru-RU"/>
        </w:rPr>
        <w:t>Петро Матрипула 32650</w:t>
      </w:r>
    </w:p>
    <w:p w14:paraId="06E28558" w14:textId="77777777" w:rsidR="00FA121E" w:rsidRDefault="00FA121E" w:rsidP="00FA121E">
      <w:pPr>
        <w:ind w:left="900"/>
        <w:jc w:val="both"/>
        <w:rPr>
          <w:sz w:val="28"/>
          <w:szCs w:val="28"/>
        </w:rPr>
        <w:sectPr w:rsidR="00FA121E" w:rsidSect="00FA121E">
          <w:pgSz w:w="16838" w:h="11906" w:orient="landscape"/>
          <w:pgMar w:top="709" w:right="284" w:bottom="567" w:left="346" w:header="709" w:footer="709" w:gutter="0"/>
          <w:cols w:space="709"/>
          <w:titlePg/>
        </w:sectPr>
      </w:pPr>
    </w:p>
    <w:p w14:paraId="3B22321F" w14:textId="77777777" w:rsidR="00FA121E" w:rsidRDefault="00FA121E" w:rsidP="00FA121E">
      <w:pPr>
        <w:spacing w:line="360" w:lineRule="auto"/>
        <w:ind w:left="5940"/>
        <w:rPr>
          <w:sz w:val="28"/>
          <w:szCs w:val="28"/>
        </w:rPr>
      </w:pPr>
      <w:r>
        <w:rPr>
          <w:sz w:val="28"/>
          <w:szCs w:val="28"/>
        </w:rPr>
        <w:lastRenderedPageBreak/>
        <w:t>ЗАТВЕРДЖЕНО</w:t>
      </w:r>
    </w:p>
    <w:p w14:paraId="29E9AF19" w14:textId="77777777" w:rsidR="00FA121E" w:rsidRDefault="00FA121E" w:rsidP="00FA121E">
      <w:pPr>
        <w:spacing w:line="360" w:lineRule="auto"/>
        <w:ind w:left="5940"/>
        <w:rPr>
          <w:sz w:val="28"/>
          <w:szCs w:val="28"/>
        </w:rPr>
      </w:pPr>
      <w:r>
        <w:rPr>
          <w:sz w:val="28"/>
          <w:szCs w:val="28"/>
        </w:rPr>
        <w:t>Рішення виконавчого комітету</w:t>
      </w:r>
    </w:p>
    <w:p w14:paraId="04EF11C6" w14:textId="77777777" w:rsidR="00FA121E" w:rsidRPr="00FA16B8" w:rsidRDefault="00FA121E" w:rsidP="00FA121E">
      <w:pPr>
        <w:rPr>
          <w:sz w:val="28"/>
          <w:szCs w:val="28"/>
        </w:rPr>
      </w:pPr>
      <w:r>
        <w:rPr>
          <w:sz w:val="28"/>
          <w:szCs w:val="28"/>
        </w:rPr>
        <w:t xml:space="preserve">                                                                                     </w:t>
      </w:r>
      <w:r>
        <w:rPr>
          <w:sz w:val="28"/>
          <w:szCs w:val="28"/>
          <w:u w:val="single"/>
        </w:rPr>
        <w:t xml:space="preserve">від 02 квітня 2025 року </w:t>
      </w:r>
      <w:r w:rsidRPr="003C46E5">
        <w:rPr>
          <w:sz w:val="28"/>
          <w:szCs w:val="28"/>
          <w:u w:val="single"/>
        </w:rPr>
        <w:t xml:space="preserve">№ </w:t>
      </w:r>
      <w:r w:rsidRPr="00C005BC">
        <w:rPr>
          <w:sz w:val="28"/>
          <w:szCs w:val="28"/>
          <w:u w:val="single"/>
        </w:rPr>
        <w:t>383</w:t>
      </w:r>
    </w:p>
    <w:p w14:paraId="62899B8A" w14:textId="77777777" w:rsidR="00FA121E" w:rsidRDefault="00FA121E" w:rsidP="00FA121E">
      <w:pPr>
        <w:ind w:left="6480"/>
        <w:rPr>
          <w:sz w:val="28"/>
          <w:szCs w:val="28"/>
        </w:rPr>
      </w:pPr>
    </w:p>
    <w:p w14:paraId="5420E954" w14:textId="77777777" w:rsidR="00FA121E" w:rsidRDefault="00FA121E" w:rsidP="00FA121E">
      <w:pPr>
        <w:jc w:val="center"/>
        <w:rPr>
          <w:sz w:val="28"/>
          <w:szCs w:val="28"/>
        </w:rPr>
      </w:pPr>
      <w:r>
        <w:rPr>
          <w:sz w:val="28"/>
          <w:szCs w:val="28"/>
        </w:rPr>
        <w:t xml:space="preserve">Умови конкурсу </w:t>
      </w:r>
    </w:p>
    <w:p w14:paraId="0DA42073" w14:textId="77777777" w:rsidR="00FA121E" w:rsidRDefault="00FA121E" w:rsidP="00FA121E">
      <w:pPr>
        <w:jc w:val="center"/>
        <w:rPr>
          <w:sz w:val="28"/>
          <w:szCs w:val="28"/>
        </w:rPr>
      </w:pPr>
      <w:r>
        <w:rPr>
          <w:sz w:val="28"/>
          <w:szCs w:val="28"/>
        </w:rPr>
        <w:t xml:space="preserve">на перевезення пасажирів на приміському автобусному маршруті </w:t>
      </w:r>
      <w:r w:rsidRPr="00E16A0E">
        <w:rPr>
          <w:sz w:val="28"/>
          <w:szCs w:val="28"/>
        </w:rPr>
        <w:t>у Нововолинській територіальній громаді</w:t>
      </w:r>
    </w:p>
    <w:p w14:paraId="6C7D8296" w14:textId="77777777" w:rsidR="00FA121E" w:rsidRDefault="00FA121E" w:rsidP="00FA121E">
      <w:pPr>
        <w:jc w:val="both"/>
        <w:rPr>
          <w:sz w:val="28"/>
          <w:szCs w:val="28"/>
        </w:rPr>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46"/>
        <w:gridCol w:w="1134"/>
        <w:gridCol w:w="1446"/>
        <w:gridCol w:w="1620"/>
        <w:gridCol w:w="761"/>
        <w:gridCol w:w="850"/>
        <w:gridCol w:w="2380"/>
      </w:tblGrid>
      <w:tr w:rsidR="00FA121E" w14:paraId="19C57546" w14:textId="77777777" w:rsidTr="00717085">
        <w:trPr>
          <w:jc w:val="center"/>
        </w:trPr>
        <w:tc>
          <w:tcPr>
            <w:tcW w:w="828" w:type="dxa"/>
            <w:vMerge w:val="restart"/>
          </w:tcPr>
          <w:p w14:paraId="2607B825" w14:textId="77777777" w:rsidR="00FA121E" w:rsidRDefault="00FA121E" w:rsidP="00717085">
            <w:pPr>
              <w:ind w:left="-112" w:right="-65"/>
              <w:jc w:val="center"/>
              <w:rPr>
                <w:sz w:val="24"/>
                <w:szCs w:val="24"/>
              </w:rPr>
            </w:pPr>
            <w:r>
              <w:rPr>
                <w:sz w:val="24"/>
                <w:szCs w:val="24"/>
              </w:rPr>
              <w:t>№ об’єкта</w:t>
            </w:r>
          </w:p>
        </w:tc>
        <w:tc>
          <w:tcPr>
            <w:tcW w:w="5046" w:type="dxa"/>
            <w:gridSpan w:val="4"/>
          </w:tcPr>
          <w:p w14:paraId="11301C77" w14:textId="77777777" w:rsidR="00FA121E" w:rsidRDefault="00FA121E" w:rsidP="00717085">
            <w:pPr>
              <w:ind w:left="-112" w:right="-65"/>
              <w:jc w:val="center"/>
              <w:rPr>
                <w:sz w:val="24"/>
                <w:szCs w:val="24"/>
              </w:rPr>
            </w:pPr>
            <w:r>
              <w:rPr>
                <w:sz w:val="24"/>
                <w:szCs w:val="24"/>
              </w:rPr>
              <w:t xml:space="preserve">Вимоги до автобусів (у власності, </w:t>
            </w:r>
            <w:proofErr w:type="spellStart"/>
            <w:r>
              <w:rPr>
                <w:sz w:val="24"/>
                <w:szCs w:val="24"/>
              </w:rPr>
              <w:t>співвласності</w:t>
            </w:r>
            <w:proofErr w:type="spellEnd"/>
            <w:r>
              <w:rPr>
                <w:sz w:val="24"/>
                <w:szCs w:val="24"/>
              </w:rPr>
              <w:t>, оренді або таких, що використовуються ними на правах фінансового лізингу)</w:t>
            </w:r>
          </w:p>
        </w:tc>
        <w:tc>
          <w:tcPr>
            <w:tcW w:w="1611" w:type="dxa"/>
            <w:gridSpan w:val="2"/>
          </w:tcPr>
          <w:p w14:paraId="7DC0BD78" w14:textId="77777777" w:rsidR="00FA121E" w:rsidRDefault="00FA121E" w:rsidP="00717085">
            <w:pPr>
              <w:ind w:left="-112" w:right="-65"/>
              <w:jc w:val="center"/>
              <w:rPr>
                <w:sz w:val="24"/>
                <w:szCs w:val="24"/>
              </w:rPr>
            </w:pPr>
            <w:r>
              <w:rPr>
                <w:sz w:val="24"/>
                <w:szCs w:val="24"/>
              </w:rPr>
              <w:t>Кількість автобусів для забезпечення перевезень</w:t>
            </w:r>
          </w:p>
        </w:tc>
        <w:tc>
          <w:tcPr>
            <w:tcW w:w="2380" w:type="dxa"/>
            <w:vMerge w:val="restart"/>
          </w:tcPr>
          <w:p w14:paraId="6631A64B" w14:textId="77777777" w:rsidR="00FA121E" w:rsidRDefault="00FA121E" w:rsidP="00717085">
            <w:pPr>
              <w:ind w:left="-112" w:right="-65"/>
              <w:jc w:val="center"/>
              <w:rPr>
                <w:sz w:val="24"/>
                <w:szCs w:val="24"/>
              </w:rPr>
            </w:pPr>
            <w:r>
              <w:rPr>
                <w:sz w:val="24"/>
                <w:szCs w:val="24"/>
              </w:rPr>
              <w:t>Додаткова умова до ТЗ</w:t>
            </w:r>
          </w:p>
        </w:tc>
      </w:tr>
      <w:tr w:rsidR="00FA121E" w14:paraId="4E0AA741" w14:textId="77777777" w:rsidTr="00717085">
        <w:trPr>
          <w:jc w:val="center"/>
        </w:trPr>
        <w:tc>
          <w:tcPr>
            <w:tcW w:w="828" w:type="dxa"/>
            <w:vMerge/>
            <w:vAlign w:val="center"/>
          </w:tcPr>
          <w:p w14:paraId="4730B2BB" w14:textId="77777777" w:rsidR="00FA121E" w:rsidRDefault="00FA121E" w:rsidP="00717085">
            <w:pPr>
              <w:autoSpaceDE/>
              <w:autoSpaceDN/>
              <w:rPr>
                <w:sz w:val="24"/>
                <w:szCs w:val="24"/>
              </w:rPr>
            </w:pPr>
          </w:p>
        </w:tc>
        <w:tc>
          <w:tcPr>
            <w:tcW w:w="846" w:type="dxa"/>
          </w:tcPr>
          <w:p w14:paraId="32458188" w14:textId="77777777" w:rsidR="00FA121E" w:rsidRDefault="00FA121E" w:rsidP="00717085">
            <w:pPr>
              <w:ind w:left="-112" w:right="-65"/>
              <w:jc w:val="center"/>
              <w:rPr>
                <w:sz w:val="24"/>
                <w:szCs w:val="24"/>
              </w:rPr>
            </w:pPr>
            <w:r>
              <w:rPr>
                <w:sz w:val="24"/>
                <w:szCs w:val="24"/>
              </w:rPr>
              <w:t>клас</w:t>
            </w:r>
          </w:p>
        </w:tc>
        <w:tc>
          <w:tcPr>
            <w:tcW w:w="1134" w:type="dxa"/>
          </w:tcPr>
          <w:p w14:paraId="2F8710D4" w14:textId="77777777" w:rsidR="00FA121E" w:rsidRDefault="00FA121E" w:rsidP="00717085">
            <w:pPr>
              <w:ind w:left="-112" w:right="-65"/>
              <w:jc w:val="center"/>
              <w:rPr>
                <w:sz w:val="24"/>
                <w:szCs w:val="24"/>
              </w:rPr>
            </w:pPr>
            <w:r>
              <w:rPr>
                <w:sz w:val="24"/>
                <w:szCs w:val="24"/>
              </w:rPr>
              <w:t>категорія</w:t>
            </w:r>
          </w:p>
        </w:tc>
        <w:tc>
          <w:tcPr>
            <w:tcW w:w="1446" w:type="dxa"/>
          </w:tcPr>
          <w:p w14:paraId="6B9D675C" w14:textId="77777777" w:rsidR="00FA121E" w:rsidRDefault="00FA121E" w:rsidP="00717085">
            <w:pPr>
              <w:ind w:left="-112" w:right="-65"/>
              <w:jc w:val="center"/>
              <w:rPr>
                <w:sz w:val="24"/>
                <w:szCs w:val="24"/>
              </w:rPr>
            </w:pPr>
            <w:r>
              <w:rPr>
                <w:sz w:val="24"/>
                <w:szCs w:val="24"/>
              </w:rPr>
              <w:t>відповідність екологічним нормам ТЗ</w:t>
            </w:r>
          </w:p>
        </w:tc>
        <w:tc>
          <w:tcPr>
            <w:tcW w:w="1620" w:type="dxa"/>
          </w:tcPr>
          <w:p w14:paraId="1093262B" w14:textId="77777777" w:rsidR="00FA121E" w:rsidRDefault="00FA121E" w:rsidP="00717085">
            <w:pPr>
              <w:ind w:left="-112" w:right="-65"/>
              <w:jc w:val="center"/>
              <w:rPr>
                <w:sz w:val="24"/>
                <w:szCs w:val="24"/>
              </w:rPr>
            </w:pPr>
            <w:r>
              <w:rPr>
                <w:sz w:val="24"/>
                <w:szCs w:val="24"/>
              </w:rPr>
              <w:t>кількість місць для сидіння не менше</w:t>
            </w:r>
          </w:p>
        </w:tc>
        <w:tc>
          <w:tcPr>
            <w:tcW w:w="761" w:type="dxa"/>
          </w:tcPr>
          <w:p w14:paraId="782BE8E7" w14:textId="77777777" w:rsidR="00FA121E" w:rsidRDefault="00FA121E" w:rsidP="00717085">
            <w:pPr>
              <w:ind w:left="-112" w:right="-65"/>
              <w:jc w:val="center"/>
              <w:rPr>
                <w:sz w:val="24"/>
                <w:szCs w:val="24"/>
              </w:rPr>
            </w:pPr>
            <w:r>
              <w:rPr>
                <w:sz w:val="24"/>
                <w:szCs w:val="24"/>
              </w:rPr>
              <w:t>основні</w:t>
            </w:r>
          </w:p>
        </w:tc>
        <w:tc>
          <w:tcPr>
            <w:tcW w:w="850" w:type="dxa"/>
          </w:tcPr>
          <w:p w14:paraId="4792E958" w14:textId="77777777" w:rsidR="00FA121E" w:rsidRDefault="00FA121E" w:rsidP="00717085">
            <w:pPr>
              <w:ind w:left="-112" w:right="-65"/>
              <w:jc w:val="center"/>
              <w:rPr>
                <w:sz w:val="24"/>
                <w:szCs w:val="24"/>
              </w:rPr>
            </w:pPr>
            <w:r>
              <w:rPr>
                <w:sz w:val="24"/>
                <w:szCs w:val="24"/>
              </w:rPr>
              <w:t>резервні</w:t>
            </w:r>
          </w:p>
        </w:tc>
        <w:tc>
          <w:tcPr>
            <w:tcW w:w="2380" w:type="dxa"/>
            <w:vMerge/>
            <w:vAlign w:val="center"/>
          </w:tcPr>
          <w:p w14:paraId="6A0E9F85" w14:textId="77777777" w:rsidR="00FA121E" w:rsidRDefault="00FA121E" w:rsidP="00717085">
            <w:pPr>
              <w:autoSpaceDE/>
              <w:autoSpaceDN/>
              <w:rPr>
                <w:sz w:val="24"/>
                <w:szCs w:val="24"/>
              </w:rPr>
            </w:pPr>
          </w:p>
        </w:tc>
      </w:tr>
      <w:tr w:rsidR="00FA121E" w14:paraId="08D57448" w14:textId="77777777" w:rsidTr="00717085">
        <w:trPr>
          <w:jc w:val="center"/>
        </w:trPr>
        <w:tc>
          <w:tcPr>
            <w:tcW w:w="9865" w:type="dxa"/>
            <w:gridSpan w:val="8"/>
          </w:tcPr>
          <w:p w14:paraId="09BF3EB6" w14:textId="77777777" w:rsidR="00FA121E" w:rsidRDefault="00FA121E" w:rsidP="00717085">
            <w:pPr>
              <w:ind w:left="-112" w:right="-65"/>
              <w:jc w:val="center"/>
              <w:rPr>
                <w:sz w:val="24"/>
                <w:szCs w:val="24"/>
              </w:rPr>
            </w:pPr>
            <w:r>
              <w:rPr>
                <w:sz w:val="24"/>
                <w:szCs w:val="24"/>
              </w:rPr>
              <w:t xml:space="preserve">13 </w:t>
            </w:r>
            <w:proofErr w:type="spellStart"/>
            <w:r>
              <w:rPr>
                <w:sz w:val="24"/>
                <w:szCs w:val="24"/>
              </w:rPr>
              <w:t>траня</w:t>
            </w:r>
            <w:proofErr w:type="spellEnd"/>
            <w:r>
              <w:rPr>
                <w:sz w:val="24"/>
                <w:szCs w:val="24"/>
              </w:rPr>
              <w:t xml:space="preserve"> 2025 року</w:t>
            </w:r>
          </w:p>
        </w:tc>
      </w:tr>
      <w:tr w:rsidR="00FA121E" w14:paraId="172BC66B" w14:textId="77777777" w:rsidTr="00717085">
        <w:trPr>
          <w:trHeight w:val="455"/>
          <w:jc w:val="center"/>
        </w:trPr>
        <w:tc>
          <w:tcPr>
            <w:tcW w:w="828" w:type="dxa"/>
          </w:tcPr>
          <w:p w14:paraId="7FDAAF6A" w14:textId="77777777" w:rsidR="00FA121E" w:rsidRDefault="00FA121E" w:rsidP="00717085">
            <w:pPr>
              <w:ind w:left="-112" w:right="-65"/>
              <w:jc w:val="center"/>
              <w:rPr>
                <w:sz w:val="24"/>
                <w:szCs w:val="24"/>
              </w:rPr>
            </w:pPr>
            <w:r>
              <w:rPr>
                <w:sz w:val="24"/>
                <w:szCs w:val="24"/>
              </w:rPr>
              <w:t>1</w:t>
            </w:r>
          </w:p>
        </w:tc>
        <w:tc>
          <w:tcPr>
            <w:tcW w:w="846" w:type="dxa"/>
          </w:tcPr>
          <w:p w14:paraId="03887DBB" w14:textId="77777777" w:rsidR="00FA121E" w:rsidRDefault="00FA121E" w:rsidP="00717085">
            <w:pPr>
              <w:jc w:val="center"/>
            </w:pPr>
            <w:r>
              <w:rPr>
                <w:sz w:val="24"/>
                <w:szCs w:val="24"/>
              </w:rPr>
              <w:t>А, І,</w:t>
            </w:r>
          </w:p>
        </w:tc>
        <w:tc>
          <w:tcPr>
            <w:tcW w:w="1134" w:type="dxa"/>
          </w:tcPr>
          <w:p w14:paraId="264C2B1A" w14:textId="77777777" w:rsidR="00FA121E" w:rsidRDefault="00FA121E" w:rsidP="00717085">
            <w:pPr>
              <w:ind w:left="-112" w:right="-65"/>
              <w:jc w:val="center"/>
              <w:rPr>
                <w:sz w:val="24"/>
                <w:szCs w:val="24"/>
              </w:rPr>
            </w:pPr>
            <w:r>
              <w:rPr>
                <w:sz w:val="24"/>
                <w:szCs w:val="24"/>
              </w:rPr>
              <w:t>М 3</w:t>
            </w:r>
          </w:p>
        </w:tc>
        <w:tc>
          <w:tcPr>
            <w:tcW w:w="1446" w:type="dxa"/>
          </w:tcPr>
          <w:p w14:paraId="531E58D0" w14:textId="77777777" w:rsidR="00FA121E" w:rsidRDefault="00FA121E" w:rsidP="00717085">
            <w:pPr>
              <w:ind w:left="-112" w:right="-65"/>
              <w:jc w:val="center"/>
              <w:rPr>
                <w:sz w:val="24"/>
                <w:szCs w:val="24"/>
              </w:rPr>
            </w:pPr>
            <w:r>
              <w:rPr>
                <w:sz w:val="24"/>
                <w:szCs w:val="24"/>
              </w:rPr>
              <w:t>ЄВРО- 0  і вище</w:t>
            </w:r>
          </w:p>
        </w:tc>
        <w:tc>
          <w:tcPr>
            <w:tcW w:w="1620" w:type="dxa"/>
          </w:tcPr>
          <w:p w14:paraId="4E4211A2" w14:textId="77777777" w:rsidR="00FA121E" w:rsidRDefault="00FA121E" w:rsidP="00717085">
            <w:pPr>
              <w:ind w:left="-112" w:right="-65"/>
              <w:jc w:val="center"/>
              <w:rPr>
                <w:sz w:val="24"/>
                <w:szCs w:val="24"/>
              </w:rPr>
            </w:pPr>
            <w:r>
              <w:rPr>
                <w:sz w:val="24"/>
                <w:szCs w:val="24"/>
              </w:rPr>
              <w:t>16</w:t>
            </w:r>
          </w:p>
        </w:tc>
        <w:tc>
          <w:tcPr>
            <w:tcW w:w="761" w:type="dxa"/>
          </w:tcPr>
          <w:p w14:paraId="57AB472C" w14:textId="77777777" w:rsidR="00FA121E" w:rsidRDefault="00FA121E" w:rsidP="00717085">
            <w:pPr>
              <w:ind w:left="-112" w:right="-65"/>
              <w:jc w:val="center"/>
              <w:rPr>
                <w:sz w:val="24"/>
                <w:szCs w:val="24"/>
              </w:rPr>
            </w:pPr>
            <w:r>
              <w:rPr>
                <w:sz w:val="24"/>
                <w:szCs w:val="24"/>
              </w:rPr>
              <w:t>1</w:t>
            </w:r>
          </w:p>
        </w:tc>
        <w:tc>
          <w:tcPr>
            <w:tcW w:w="850" w:type="dxa"/>
          </w:tcPr>
          <w:p w14:paraId="60D63C39" w14:textId="77777777" w:rsidR="00FA121E" w:rsidRDefault="00FA121E" w:rsidP="00717085">
            <w:pPr>
              <w:ind w:left="-112" w:right="-65"/>
              <w:jc w:val="center"/>
              <w:rPr>
                <w:sz w:val="24"/>
                <w:szCs w:val="24"/>
              </w:rPr>
            </w:pPr>
            <w:r>
              <w:rPr>
                <w:sz w:val="24"/>
                <w:szCs w:val="24"/>
              </w:rPr>
              <w:t>1</w:t>
            </w:r>
          </w:p>
        </w:tc>
        <w:tc>
          <w:tcPr>
            <w:tcW w:w="2380" w:type="dxa"/>
          </w:tcPr>
          <w:p w14:paraId="15D13D5D" w14:textId="77777777" w:rsidR="00FA121E" w:rsidRDefault="00FA121E" w:rsidP="00717085">
            <w:pPr>
              <w:ind w:left="-112" w:right="-65"/>
              <w:jc w:val="center"/>
              <w:rPr>
                <w:sz w:val="24"/>
                <w:szCs w:val="24"/>
              </w:rPr>
            </w:pPr>
            <w:r>
              <w:rPr>
                <w:sz w:val="24"/>
                <w:szCs w:val="24"/>
              </w:rPr>
              <w:t>-</w:t>
            </w:r>
          </w:p>
        </w:tc>
      </w:tr>
    </w:tbl>
    <w:p w14:paraId="0567C21A" w14:textId="77777777" w:rsidR="00FA121E" w:rsidRDefault="00FA121E" w:rsidP="00FA121E">
      <w:pPr>
        <w:jc w:val="both"/>
        <w:rPr>
          <w:sz w:val="28"/>
          <w:szCs w:val="28"/>
        </w:rPr>
      </w:pPr>
    </w:p>
    <w:p w14:paraId="788E2101" w14:textId="77777777" w:rsidR="00FA121E" w:rsidRDefault="00FA121E" w:rsidP="00FA121E">
      <w:pPr>
        <w:ind w:firstLine="567"/>
        <w:jc w:val="both"/>
        <w:rPr>
          <w:sz w:val="28"/>
          <w:szCs w:val="28"/>
        </w:rPr>
      </w:pPr>
      <w:r>
        <w:rPr>
          <w:sz w:val="28"/>
          <w:szCs w:val="28"/>
        </w:rPr>
        <w:t xml:space="preserve">Конкурс з визначення автомобільного перевізника на приміському автобусному маршруті </w:t>
      </w:r>
      <w:r w:rsidRPr="00E16A0E">
        <w:rPr>
          <w:sz w:val="28"/>
          <w:szCs w:val="28"/>
        </w:rPr>
        <w:t>у Нововолинській територіальній громаді</w:t>
      </w:r>
      <w:r>
        <w:rPr>
          <w:sz w:val="28"/>
          <w:szCs w:val="28"/>
        </w:rPr>
        <w:t>, відбудеться 13 травня 2025 року, проводиться відповідно до статті 43 Закону України «Про автомобільний транспорт» та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03.12.2008 р. № 1081 (надалі - Постанова).</w:t>
      </w:r>
    </w:p>
    <w:p w14:paraId="7F952117" w14:textId="77777777" w:rsidR="00FA121E" w:rsidRDefault="00FA121E" w:rsidP="00FA121E">
      <w:pPr>
        <w:ind w:firstLine="567"/>
        <w:jc w:val="both"/>
        <w:rPr>
          <w:sz w:val="28"/>
          <w:szCs w:val="28"/>
        </w:rPr>
      </w:pPr>
      <w:r>
        <w:rPr>
          <w:sz w:val="28"/>
          <w:szCs w:val="28"/>
        </w:rPr>
        <w:t>Для участі у конкурсі перевізник-претендент подає документи визначені пунктом 29 Постанови.</w:t>
      </w:r>
    </w:p>
    <w:p w14:paraId="172367C5" w14:textId="77777777" w:rsidR="00FA121E" w:rsidRDefault="00FA121E" w:rsidP="00FA121E">
      <w:pPr>
        <w:ind w:firstLine="567"/>
        <w:jc w:val="both"/>
        <w:rPr>
          <w:sz w:val="28"/>
          <w:szCs w:val="28"/>
        </w:rPr>
      </w:pPr>
      <w:r>
        <w:rPr>
          <w:sz w:val="28"/>
          <w:szCs w:val="28"/>
        </w:rPr>
        <w:t>Визначення рейсів позначених зірочками (*):</w:t>
      </w:r>
    </w:p>
    <w:p w14:paraId="4450A025" w14:textId="77777777" w:rsidR="00FA121E" w:rsidRDefault="00FA121E" w:rsidP="00FA121E">
      <w:pPr>
        <w:ind w:firstLine="567"/>
        <w:jc w:val="both"/>
        <w:rPr>
          <w:sz w:val="28"/>
          <w:szCs w:val="28"/>
        </w:rPr>
      </w:pPr>
      <w:r>
        <w:rPr>
          <w:sz w:val="28"/>
          <w:szCs w:val="28"/>
        </w:rPr>
        <w:t>* - тільки четвер, субота та неділя;</w:t>
      </w:r>
    </w:p>
    <w:p w14:paraId="641C9264" w14:textId="77777777" w:rsidR="00FA121E" w:rsidRDefault="00FA121E" w:rsidP="00FA121E">
      <w:pPr>
        <w:ind w:firstLine="567"/>
        <w:jc w:val="both"/>
        <w:rPr>
          <w:sz w:val="28"/>
          <w:szCs w:val="28"/>
        </w:rPr>
      </w:pPr>
      <w:r>
        <w:rPr>
          <w:sz w:val="28"/>
          <w:szCs w:val="28"/>
        </w:rPr>
        <w:t>** - окрім суботи та неділі.</w:t>
      </w:r>
    </w:p>
    <w:p w14:paraId="3728F632" w14:textId="77777777" w:rsidR="00FA121E" w:rsidRDefault="00FA121E" w:rsidP="00FA121E">
      <w:pPr>
        <w:ind w:firstLine="567"/>
        <w:jc w:val="both"/>
        <w:rPr>
          <w:sz w:val="28"/>
          <w:szCs w:val="28"/>
        </w:rPr>
      </w:pPr>
      <w:r>
        <w:rPr>
          <w:sz w:val="28"/>
          <w:szCs w:val="28"/>
        </w:rPr>
        <w:t>Переможець конкурсу зобов'язаний  заключити угоду з оператором електронних систем, для впровадження автоматизованої системи обліку оплати проїзду.</w:t>
      </w:r>
    </w:p>
    <w:p w14:paraId="3979BD46" w14:textId="77777777" w:rsidR="00FA121E" w:rsidRPr="00404988" w:rsidRDefault="00FA121E" w:rsidP="00FA121E">
      <w:pPr>
        <w:ind w:firstLine="567"/>
        <w:jc w:val="both"/>
        <w:rPr>
          <w:sz w:val="28"/>
          <w:szCs w:val="28"/>
        </w:rPr>
      </w:pPr>
      <w:r w:rsidRPr="00404988">
        <w:rPr>
          <w:sz w:val="28"/>
          <w:szCs w:val="28"/>
        </w:rPr>
        <w:t>Документи повинні бути надруковані на одному боці аркуша, прошнуровані та завірені перевізником-претендентом.</w:t>
      </w:r>
    </w:p>
    <w:p w14:paraId="0E5EE97E" w14:textId="77777777" w:rsidR="00FA121E" w:rsidRDefault="00FA121E" w:rsidP="00FA121E">
      <w:pPr>
        <w:pStyle w:val="a3"/>
        <w:shd w:val="clear" w:color="auto" w:fill="FFFFFF"/>
        <w:spacing w:before="0" w:beforeAutospacing="0" w:after="0" w:afterAutospacing="0"/>
        <w:ind w:firstLine="567"/>
        <w:jc w:val="both"/>
        <w:rPr>
          <w:sz w:val="28"/>
          <w:szCs w:val="28"/>
        </w:rPr>
      </w:pPr>
      <w:r w:rsidRPr="00404988">
        <w:rPr>
          <w:sz w:val="28"/>
          <w:szCs w:val="28"/>
          <w:shd w:val="clear" w:color="auto" w:fill="FFFFFF"/>
        </w:rPr>
        <w:t>Інші умови передбачені</w:t>
      </w:r>
      <w:r>
        <w:rPr>
          <w:sz w:val="28"/>
          <w:szCs w:val="28"/>
          <w:shd w:val="clear" w:color="auto" w:fill="FFFFFF"/>
        </w:rPr>
        <w:t xml:space="preserve"> у</w:t>
      </w:r>
      <w:r w:rsidRPr="00404988">
        <w:rPr>
          <w:sz w:val="28"/>
          <w:szCs w:val="28"/>
          <w:shd w:val="clear" w:color="auto" w:fill="FFFFFF"/>
        </w:rPr>
        <w:t xml:space="preserve"> примірн</w:t>
      </w:r>
      <w:r>
        <w:rPr>
          <w:sz w:val="28"/>
          <w:szCs w:val="28"/>
          <w:shd w:val="clear" w:color="auto" w:fill="FFFFFF"/>
        </w:rPr>
        <w:t>ій формі</w:t>
      </w:r>
      <w:r w:rsidRPr="00404988">
        <w:rPr>
          <w:sz w:val="28"/>
          <w:szCs w:val="28"/>
          <w:shd w:val="clear" w:color="auto" w:fill="FFFFFF"/>
        </w:rPr>
        <w:t xml:space="preserve"> договор</w:t>
      </w:r>
      <w:r>
        <w:rPr>
          <w:sz w:val="28"/>
          <w:szCs w:val="28"/>
          <w:shd w:val="clear" w:color="auto" w:fill="FFFFFF"/>
        </w:rPr>
        <w:t>у</w:t>
      </w:r>
      <w:r w:rsidRPr="00404988">
        <w:rPr>
          <w:sz w:val="28"/>
          <w:szCs w:val="28"/>
          <w:shd w:val="clear" w:color="auto" w:fill="FFFFFF"/>
        </w:rPr>
        <w:t xml:space="preserve"> </w:t>
      </w:r>
      <w:r>
        <w:rPr>
          <w:sz w:val="28"/>
          <w:szCs w:val="28"/>
        </w:rPr>
        <w:t xml:space="preserve">про організацію перевезення пасажирів на приміському автобусному маршруті </w:t>
      </w:r>
      <w:r w:rsidRPr="00E16A0E">
        <w:rPr>
          <w:sz w:val="28"/>
          <w:szCs w:val="28"/>
        </w:rPr>
        <w:t>у Нововолинській територіальній громаді</w:t>
      </w:r>
      <w:r w:rsidRPr="00404988">
        <w:rPr>
          <w:sz w:val="28"/>
          <w:szCs w:val="28"/>
          <w:shd w:val="clear" w:color="auto" w:fill="FFFFFF"/>
        </w:rPr>
        <w:t xml:space="preserve"> затверджені рішенням виконавчого комітету</w:t>
      </w:r>
      <w:r>
        <w:rPr>
          <w:sz w:val="28"/>
          <w:szCs w:val="28"/>
          <w:shd w:val="clear" w:color="auto" w:fill="FFFFFF"/>
        </w:rPr>
        <w:t>, який підписується між організатором та переможцем конкурсу</w:t>
      </w:r>
      <w:r w:rsidRPr="00404988">
        <w:rPr>
          <w:sz w:val="28"/>
          <w:szCs w:val="28"/>
        </w:rPr>
        <w:t>.</w:t>
      </w:r>
    </w:p>
    <w:p w14:paraId="6A30500D" w14:textId="77777777" w:rsidR="00FA121E" w:rsidRDefault="00FA121E" w:rsidP="00FA121E">
      <w:pPr>
        <w:ind w:firstLine="567"/>
        <w:jc w:val="both"/>
        <w:rPr>
          <w:sz w:val="28"/>
          <w:szCs w:val="28"/>
        </w:rPr>
      </w:pPr>
      <w:r>
        <w:rPr>
          <w:sz w:val="28"/>
          <w:szCs w:val="28"/>
        </w:rPr>
        <w:t>До участі у конкурсі не допускається автомобільний перевізник, який:</w:t>
      </w:r>
    </w:p>
    <w:p w14:paraId="5A7BF549" w14:textId="77777777" w:rsidR="00FA121E" w:rsidRDefault="00FA121E" w:rsidP="00FA121E">
      <w:pPr>
        <w:ind w:firstLine="567"/>
        <w:jc w:val="both"/>
        <w:rPr>
          <w:sz w:val="28"/>
          <w:szCs w:val="28"/>
        </w:rPr>
      </w:pPr>
      <w:r>
        <w:rPr>
          <w:sz w:val="28"/>
          <w:szCs w:val="28"/>
        </w:rPr>
        <w:t>1) подав до участі в конкурсі неналежним чином оформлені документи чи не в повному обсязі, а також такі, що містять недостовірну інформацію;</w:t>
      </w:r>
    </w:p>
    <w:p w14:paraId="607DE74E" w14:textId="77777777" w:rsidR="00FA121E" w:rsidRDefault="00FA121E" w:rsidP="00FA121E">
      <w:pPr>
        <w:ind w:firstLine="567"/>
        <w:jc w:val="both"/>
        <w:rPr>
          <w:sz w:val="28"/>
          <w:szCs w:val="28"/>
        </w:rPr>
      </w:pPr>
      <w:r>
        <w:rPr>
          <w:sz w:val="28"/>
          <w:szCs w:val="28"/>
        </w:rPr>
        <w:t>2) 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p>
    <w:p w14:paraId="591F89DB" w14:textId="77777777" w:rsidR="00FA121E" w:rsidRDefault="00FA121E" w:rsidP="00FA121E">
      <w:pPr>
        <w:ind w:firstLine="567"/>
        <w:jc w:val="both"/>
        <w:rPr>
          <w:sz w:val="28"/>
          <w:szCs w:val="28"/>
        </w:rPr>
      </w:pPr>
      <w:r>
        <w:rPr>
          <w:sz w:val="28"/>
          <w:szCs w:val="28"/>
        </w:rPr>
        <w:t>3) не відповідає вимогам статті 34 Закону України «Про автомобільний транспорт»;</w:t>
      </w:r>
    </w:p>
    <w:p w14:paraId="29F86D54" w14:textId="77777777" w:rsidR="00FA121E" w:rsidRDefault="00FA121E" w:rsidP="00FA121E">
      <w:pPr>
        <w:ind w:firstLine="567"/>
        <w:jc w:val="both"/>
        <w:rPr>
          <w:sz w:val="28"/>
          <w:szCs w:val="28"/>
        </w:rPr>
      </w:pPr>
      <w:r>
        <w:rPr>
          <w:sz w:val="28"/>
          <w:szCs w:val="28"/>
        </w:rPr>
        <w:t xml:space="preserve">4) не має достатньої кількості транспортних засобів для виконання перевезень, затвердженої обов'язковими умовами конкурсу, та перевезень, які </w:t>
      </w:r>
      <w:r>
        <w:rPr>
          <w:sz w:val="28"/>
          <w:szCs w:val="28"/>
        </w:rPr>
        <w:lastRenderedPageBreak/>
        <w:t>повинні виконуватися відповідно до чинних договорів (дозволів).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p>
    <w:p w14:paraId="3A86F008" w14:textId="77777777" w:rsidR="00FA121E" w:rsidRDefault="00FA121E" w:rsidP="00FA121E">
      <w:pPr>
        <w:ind w:firstLine="567"/>
        <w:jc w:val="both"/>
        <w:rPr>
          <w:sz w:val="28"/>
          <w:szCs w:val="28"/>
        </w:rPr>
      </w:pPr>
      <w:r>
        <w:rPr>
          <w:sz w:val="28"/>
          <w:szCs w:val="28"/>
        </w:rPr>
        <w:t xml:space="preserve">5) має несплачені штрафні санкції, накладені </w:t>
      </w:r>
      <w:proofErr w:type="spellStart"/>
      <w:r>
        <w:rPr>
          <w:sz w:val="28"/>
          <w:szCs w:val="28"/>
        </w:rPr>
        <w:t>Укртрансбезпекою</w:t>
      </w:r>
      <w:proofErr w:type="spellEnd"/>
      <w:r>
        <w:rPr>
          <w:sz w:val="28"/>
          <w:szCs w:val="28"/>
        </w:rPr>
        <w:t>, або водії якого мають несплачені штрафи, накладені відповідно до статті 130 Кодексу 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14:paraId="65B32571" w14:textId="77777777" w:rsidR="00FA121E" w:rsidRDefault="00FA121E" w:rsidP="00FA121E">
      <w:pPr>
        <w:ind w:firstLine="567"/>
        <w:jc w:val="both"/>
        <w:rPr>
          <w:sz w:val="28"/>
          <w:szCs w:val="28"/>
        </w:rPr>
      </w:pPr>
      <w:r>
        <w:rPr>
          <w:sz w:val="28"/>
          <w:szCs w:val="28"/>
        </w:rPr>
        <w:t>6) подав конкурсну пропозицію, що не відповідає обов'язковим та додатковим умовам конкурсу, крім випадків, передбачених частиною третьою статті 44 Закону України «Про автомобільний транспорт»;</w:t>
      </w:r>
    </w:p>
    <w:p w14:paraId="24B04548" w14:textId="77777777" w:rsidR="00FA121E" w:rsidRDefault="00FA121E" w:rsidP="00FA121E">
      <w:pPr>
        <w:ind w:firstLine="567"/>
        <w:jc w:val="both"/>
        <w:rPr>
          <w:sz w:val="28"/>
          <w:szCs w:val="28"/>
        </w:rPr>
      </w:pPr>
      <w:r>
        <w:rPr>
          <w:sz w:val="28"/>
          <w:szCs w:val="28"/>
        </w:rPr>
        <w:t>7) подав до участі в конкурсі більшу кількість автобусів, ніж це передбачено умовами конкурсу.</w:t>
      </w:r>
    </w:p>
    <w:p w14:paraId="195E9DD8" w14:textId="77777777" w:rsidR="00FA121E" w:rsidRDefault="00FA121E" w:rsidP="00FA121E">
      <w:pPr>
        <w:pStyle w:val="a3"/>
        <w:shd w:val="clear" w:color="auto" w:fill="FFFFFF"/>
        <w:spacing w:before="0" w:beforeAutospacing="0" w:after="0" w:afterAutospacing="0"/>
        <w:ind w:firstLine="567"/>
        <w:jc w:val="both"/>
        <w:rPr>
          <w:sz w:val="28"/>
          <w:szCs w:val="28"/>
        </w:rPr>
      </w:pPr>
      <w:r>
        <w:rPr>
          <w:sz w:val="28"/>
          <w:szCs w:val="28"/>
        </w:rPr>
        <w:t>Плата за участь у конкурсах з перевізників-претендентів не стягується.</w:t>
      </w:r>
    </w:p>
    <w:p w14:paraId="5DDA3445" w14:textId="77777777" w:rsidR="00FA121E" w:rsidRDefault="00FA121E" w:rsidP="00FA121E">
      <w:pPr>
        <w:pStyle w:val="a3"/>
        <w:shd w:val="clear" w:color="auto" w:fill="FFFFFF"/>
        <w:spacing w:before="0" w:beforeAutospacing="0" w:after="0" w:afterAutospacing="0"/>
        <w:ind w:firstLine="567"/>
        <w:jc w:val="both"/>
        <w:rPr>
          <w:sz w:val="28"/>
          <w:szCs w:val="28"/>
        </w:rPr>
      </w:pPr>
    </w:p>
    <w:p w14:paraId="17141BE0" w14:textId="77777777" w:rsidR="00FA121E" w:rsidRDefault="00FA121E" w:rsidP="00FA121E">
      <w:pPr>
        <w:rPr>
          <w:sz w:val="28"/>
          <w:szCs w:val="28"/>
        </w:rPr>
      </w:pPr>
    </w:p>
    <w:p w14:paraId="797E2DEC" w14:textId="77777777" w:rsidR="00FA121E" w:rsidRPr="00747B19" w:rsidRDefault="00FA121E" w:rsidP="00FA121E">
      <w:pPr>
        <w:rPr>
          <w:sz w:val="28"/>
          <w:szCs w:val="28"/>
        </w:rPr>
      </w:pPr>
    </w:p>
    <w:p w14:paraId="78B4B6DC" w14:textId="77777777" w:rsidR="00FA121E" w:rsidRDefault="00FA121E" w:rsidP="00FA121E">
      <w:pPr>
        <w:jc w:val="both"/>
        <w:rPr>
          <w:sz w:val="24"/>
          <w:szCs w:val="24"/>
          <w:lang w:val="ru-RU"/>
        </w:rPr>
      </w:pPr>
      <w:r>
        <w:rPr>
          <w:sz w:val="24"/>
          <w:szCs w:val="24"/>
          <w:lang w:val="ru-RU"/>
        </w:rPr>
        <w:t>Петро Матрипула 32650</w:t>
      </w:r>
    </w:p>
    <w:bookmarkEnd w:id="0"/>
    <w:p w14:paraId="47D80723" w14:textId="77777777" w:rsidR="00FA121E" w:rsidRDefault="00FA121E" w:rsidP="00FA121E">
      <w:pPr>
        <w:rPr>
          <w:b/>
          <w:bCs/>
        </w:rPr>
      </w:pPr>
    </w:p>
    <w:p w14:paraId="79CA0E66" w14:textId="77777777" w:rsidR="008030F9" w:rsidRDefault="008030F9"/>
    <w:sectPr w:rsidR="008030F9" w:rsidSect="00FA121E">
      <w:pgSz w:w="11906" w:h="16838"/>
      <w:pgMar w:top="284" w:right="567" w:bottom="346" w:left="1701" w:header="709" w:footer="709" w:gutter="0"/>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4A"/>
    <w:rsid w:val="004A5616"/>
    <w:rsid w:val="004D2436"/>
    <w:rsid w:val="008030F9"/>
    <w:rsid w:val="0096644A"/>
    <w:rsid w:val="00FA12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45455-BD2E-4F99-9A56-677AF3D7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21E"/>
    <w:pPr>
      <w:autoSpaceDE w:val="0"/>
      <w:autoSpaceDN w:val="0"/>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A121E"/>
    <w:pPr>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2576</Words>
  <Characters>1469</Characters>
  <Application>Microsoft Office Word</Application>
  <DocSecurity>0</DocSecurity>
  <Lines>12</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 Матрипула</dc:creator>
  <cp:keywords/>
  <dc:description/>
  <cp:lastModifiedBy>Петро Матрипула</cp:lastModifiedBy>
  <cp:revision>2</cp:revision>
  <dcterms:created xsi:type="dcterms:W3CDTF">2025-04-02T08:16:00Z</dcterms:created>
  <dcterms:modified xsi:type="dcterms:W3CDTF">2025-04-02T08:16:00Z</dcterms:modified>
</cp:coreProperties>
</file>