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648" w:rsidRDefault="00B25648" w:rsidP="00422158">
      <w:pPr>
        <w:shd w:val="clear" w:color="auto" w:fill="FFFFFF"/>
        <w:spacing w:line="322" w:lineRule="exact"/>
        <w:ind w:right="-1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25648" w:rsidRPr="00920C2D" w:rsidTr="00B25648">
        <w:tc>
          <w:tcPr>
            <w:tcW w:w="4253" w:type="dxa"/>
          </w:tcPr>
          <w:p w:rsidR="00B25648" w:rsidRPr="00920C2D" w:rsidRDefault="00B25648" w:rsidP="00B25648">
            <w:pPr>
              <w:spacing w:line="322" w:lineRule="exact"/>
              <w:ind w:right="-1"/>
              <w:rPr>
                <w:b/>
              </w:rPr>
            </w:pPr>
            <w:r w:rsidRPr="00920C2D">
              <w:rPr>
                <w:b/>
              </w:rPr>
              <w:t>ЗАТВЕРДЖУЮ</w:t>
            </w:r>
          </w:p>
          <w:p w:rsidR="00B25648" w:rsidRPr="00920C2D" w:rsidRDefault="00B25648" w:rsidP="009E0658">
            <w:pPr>
              <w:spacing w:line="322" w:lineRule="exact"/>
              <w:ind w:right="-1"/>
              <w:rPr>
                <w:b/>
              </w:rPr>
            </w:pPr>
            <w:r w:rsidRPr="00920C2D">
              <w:rPr>
                <w:b/>
              </w:rPr>
              <w:t>Голова конкурсної комісії</w:t>
            </w:r>
          </w:p>
          <w:p w:rsidR="00B25648" w:rsidRPr="00920C2D" w:rsidRDefault="00B25648" w:rsidP="00B25648">
            <w:pPr>
              <w:spacing w:line="322" w:lineRule="exact"/>
              <w:ind w:right="-1"/>
              <w:rPr>
                <w:b/>
              </w:rPr>
            </w:pPr>
            <w:r w:rsidRPr="00920C2D">
              <w:rPr>
                <w:b/>
              </w:rPr>
              <w:t>__________ А.М. Сторонський</w:t>
            </w:r>
          </w:p>
          <w:p w:rsidR="00B25648" w:rsidRPr="00920C2D" w:rsidRDefault="00B25648" w:rsidP="00B25648">
            <w:pPr>
              <w:spacing w:line="322" w:lineRule="exact"/>
              <w:ind w:right="-1"/>
              <w:rPr>
                <w:b/>
              </w:rPr>
            </w:pPr>
            <w:r w:rsidRPr="00920C2D">
              <w:rPr>
                <w:b/>
              </w:rPr>
              <w:t>«1</w:t>
            </w:r>
            <w:r w:rsidR="007256D0">
              <w:rPr>
                <w:b/>
              </w:rPr>
              <w:t>8</w:t>
            </w:r>
            <w:r w:rsidRPr="00920C2D">
              <w:rPr>
                <w:b/>
              </w:rPr>
              <w:t xml:space="preserve">» </w:t>
            </w:r>
            <w:r w:rsidR="007256D0">
              <w:rPr>
                <w:b/>
              </w:rPr>
              <w:t>квіт</w:t>
            </w:r>
            <w:r w:rsidRPr="00920C2D">
              <w:rPr>
                <w:b/>
              </w:rPr>
              <w:t>ня 2018 року</w:t>
            </w:r>
          </w:p>
          <w:p w:rsidR="00B25648" w:rsidRPr="00920C2D" w:rsidRDefault="00B25648" w:rsidP="00B25648">
            <w:pPr>
              <w:spacing w:line="322" w:lineRule="exact"/>
              <w:ind w:right="-1"/>
              <w:rPr>
                <w:b/>
              </w:rPr>
            </w:pPr>
          </w:p>
        </w:tc>
      </w:tr>
    </w:tbl>
    <w:p w:rsidR="00422158" w:rsidRPr="00920C2D" w:rsidRDefault="00B25648" w:rsidP="00422158">
      <w:pPr>
        <w:shd w:val="clear" w:color="auto" w:fill="FFFFFF"/>
        <w:spacing w:line="322" w:lineRule="exact"/>
        <w:ind w:right="-1"/>
        <w:jc w:val="center"/>
        <w:rPr>
          <w:b/>
        </w:rPr>
      </w:pPr>
      <w:r w:rsidRPr="00920C2D">
        <w:rPr>
          <w:b/>
        </w:rPr>
        <w:t>ПЕРЕЛІК ПИТАНЬ</w:t>
      </w:r>
    </w:p>
    <w:p w:rsidR="007256D0" w:rsidRDefault="00B25648" w:rsidP="00422158">
      <w:pPr>
        <w:shd w:val="clear" w:color="auto" w:fill="FFFFFF"/>
        <w:spacing w:line="322" w:lineRule="exact"/>
        <w:ind w:right="-1"/>
        <w:jc w:val="center"/>
        <w:rPr>
          <w:b/>
        </w:rPr>
      </w:pPr>
      <w:r w:rsidRPr="00920C2D">
        <w:rPr>
          <w:b/>
        </w:rPr>
        <w:t xml:space="preserve">для конкурсного випробування </w:t>
      </w:r>
    </w:p>
    <w:p w:rsidR="00B25648" w:rsidRDefault="00B25648" w:rsidP="00422158">
      <w:pPr>
        <w:shd w:val="clear" w:color="auto" w:fill="FFFFFF"/>
        <w:spacing w:line="322" w:lineRule="exact"/>
        <w:ind w:right="-1"/>
        <w:jc w:val="center"/>
        <w:rPr>
          <w:b/>
        </w:rPr>
      </w:pPr>
      <w:r w:rsidRPr="00920C2D">
        <w:rPr>
          <w:b/>
        </w:rPr>
        <w:t xml:space="preserve">у відділ </w:t>
      </w:r>
      <w:r w:rsidR="007256D0">
        <w:rPr>
          <w:b/>
        </w:rPr>
        <w:t>державного архітектурно-будівельного контролю</w:t>
      </w:r>
    </w:p>
    <w:p w:rsidR="00920C2D" w:rsidRPr="00BC2421" w:rsidRDefault="00920C2D" w:rsidP="00422158">
      <w:pPr>
        <w:shd w:val="clear" w:color="auto" w:fill="FFFFFF"/>
        <w:spacing w:line="322" w:lineRule="exact"/>
        <w:ind w:right="-1"/>
        <w:jc w:val="center"/>
        <w:rPr>
          <w:b/>
        </w:rPr>
      </w:pPr>
    </w:p>
    <w:p w:rsidR="00477EFF" w:rsidRPr="00BC2421" w:rsidRDefault="00477EFF" w:rsidP="00904FBB">
      <w:pPr>
        <w:pStyle w:val="a6"/>
        <w:numPr>
          <w:ilvl w:val="0"/>
          <w:numId w:val="4"/>
        </w:numPr>
        <w:jc w:val="both"/>
        <w:rPr>
          <w:color w:val="000000"/>
          <w:shd w:val="clear" w:color="auto" w:fill="FFFFFF"/>
        </w:rPr>
      </w:pPr>
      <w:r w:rsidRPr="00BC2421">
        <w:rPr>
          <w:color w:val="000000"/>
          <w:shd w:val="clear" w:color="auto" w:fill="FFFFFF"/>
        </w:rPr>
        <w:t xml:space="preserve">Планування і забудова територій (ст. 2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502D8">
        <w:rPr>
          <w:color w:val="000000"/>
          <w:shd w:val="clear" w:color="auto" w:fill="FFFFFF"/>
        </w:rPr>
        <w:t>.</w:t>
      </w:r>
    </w:p>
    <w:p w:rsidR="00904FBB" w:rsidRPr="00BC2421" w:rsidRDefault="00904FBB" w:rsidP="00904FBB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Законодавство у сфері містобудівної діяльності (ст. 3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904FBB" w:rsidRPr="00BC2421" w:rsidRDefault="00904FBB" w:rsidP="00904FBB">
      <w:pPr>
        <w:pStyle w:val="a6"/>
        <w:numPr>
          <w:ilvl w:val="0"/>
          <w:numId w:val="4"/>
        </w:numPr>
        <w:jc w:val="both"/>
        <w:rPr>
          <w:color w:val="000000"/>
          <w:shd w:val="clear" w:color="auto" w:fill="FFFFFF"/>
        </w:rPr>
      </w:pPr>
      <w:r w:rsidRPr="00BC2421">
        <w:rPr>
          <w:color w:val="000000"/>
          <w:shd w:val="clear" w:color="auto" w:fill="FFFFFF"/>
        </w:rPr>
        <w:t xml:space="preserve">Об’єкти та суб’єкти містобудування (ст. 4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622B4C" w:rsidRPr="00BC2421" w:rsidRDefault="00622B4C" w:rsidP="00622B4C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Органи, що здійснюють управління у сфері містобудівної діяльності, архітектурно-будівельного контролю та нагляду (ст. 6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F81264" w:rsidRPr="000172BD" w:rsidRDefault="00F81264" w:rsidP="00F81264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Зміст управління у сфері містобудівної діяльності, державного архітектурно-будівельного контролю та нагляду (ст. 7 ЗУ «Про </w:t>
      </w:r>
      <w:r w:rsidRPr="00BC2421">
        <w:rPr>
          <w:bCs/>
          <w:color w:val="000000"/>
          <w:shd w:val="clear" w:color="auto" w:fill="FFFFFF"/>
        </w:rPr>
        <w:t xml:space="preserve">регулювання містобудівної </w:t>
      </w:r>
      <w:r w:rsidRPr="000172BD">
        <w:rPr>
          <w:bCs/>
          <w:color w:val="000000"/>
          <w:shd w:val="clear" w:color="auto" w:fill="FFFFFF"/>
        </w:rPr>
        <w:t>діяльності</w:t>
      </w:r>
      <w:r w:rsidRPr="000172BD">
        <w:rPr>
          <w:color w:val="000000"/>
          <w:shd w:val="clear" w:color="auto" w:fill="FFFFFF"/>
        </w:rPr>
        <w:t>»)</w:t>
      </w:r>
      <w:r w:rsidR="00267C26" w:rsidRPr="000172BD">
        <w:rPr>
          <w:color w:val="000000"/>
          <w:shd w:val="clear" w:color="auto" w:fill="FFFFFF"/>
        </w:rPr>
        <w:t>.</w:t>
      </w:r>
    </w:p>
    <w:p w:rsidR="00050EDD" w:rsidRPr="000172BD" w:rsidRDefault="00050EDD" w:rsidP="00050EDD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0172BD">
        <w:rPr>
          <w:color w:val="000000"/>
          <w:shd w:val="clear" w:color="auto" w:fill="FFFFFF"/>
        </w:rPr>
        <w:t xml:space="preserve">Організація планування та забудови територій (ст. 8 ЗУ «Про </w:t>
      </w:r>
      <w:r w:rsidRPr="000172BD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0172BD">
        <w:rPr>
          <w:color w:val="000000"/>
          <w:shd w:val="clear" w:color="auto" w:fill="FFFFFF"/>
        </w:rPr>
        <w:t>»)</w:t>
      </w:r>
      <w:r w:rsidR="00267C26" w:rsidRPr="000172BD">
        <w:rPr>
          <w:color w:val="000000"/>
          <w:shd w:val="clear" w:color="auto" w:fill="FFFFFF"/>
        </w:rPr>
        <w:t>.</w:t>
      </w:r>
    </w:p>
    <w:p w:rsidR="000172BD" w:rsidRPr="000172BD" w:rsidRDefault="000172BD" w:rsidP="000172BD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0172BD">
        <w:rPr>
          <w:color w:val="000000"/>
          <w:shd w:val="clear" w:color="auto" w:fill="FFFFFF"/>
        </w:rPr>
        <w:t xml:space="preserve">Нормативне регулювання планування та забудови територій (ст. 9 ЗУ «Про </w:t>
      </w:r>
      <w:r w:rsidRPr="000172BD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0172BD">
        <w:rPr>
          <w:color w:val="000000"/>
          <w:shd w:val="clear" w:color="auto" w:fill="FFFFFF"/>
        </w:rPr>
        <w:t>»)</w:t>
      </w:r>
      <w:r w:rsidRPr="000172BD">
        <w:rPr>
          <w:color w:val="000000"/>
          <w:shd w:val="clear" w:color="auto" w:fill="FFFFFF"/>
        </w:rPr>
        <w:t>.</w:t>
      </w:r>
    </w:p>
    <w:p w:rsidR="000172BD" w:rsidRPr="000172BD" w:rsidRDefault="000172BD" w:rsidP="000172BD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0172BD">
        <w:rPr>
          <w:color w:val="000000"/>
          <w:shd w:val="clear" w:color="auto" w:fill="FFFFFF"/>
        </w:rPr>
        <w:t xml:space="preserve">Фінансування робіт з планування територій (ст. 10 ЗУ «Про </w:t>
      </w:r>
      <w:r w:rsidRPr="000172BD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0172BD">
        <w:rPr>
          <w:color w:val="000000"/>
          <w:shd w:val="clear" w:color="auto" w:fill="FFFFFF"/>
        </w:rPr>
        <w:t>»)</w:t>
      </w:r>
      <w:r>
        <w:rPr>
          <w:color w:val="000000"/>
          <w:shd w:val="clear" w:color="auto" w:fill="FFFFFF"/>
        </w:rPr>
        <w:t>.</w:t>
      </w:r>
      <w:bookmarkStart w:id="0" w:name="_GoBack"/>
      <w:bookmarkEnd w:id="0"/>
    </w:p>
    <w:p w:rsidR="005B76D8" w:rsidRPr="00BC2421" w:rsidRDefault="005B76D8" w:rsidP="005B76D8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0172BD">
        <w:rPr>
          <w:color w:val="000000"/>
          <w:shd w:val="clear" w:color="auto" w:fill="FFFFFF"/>
        </w:rPr>
        <w:t>Розроблення та затвердження схем</w:t>
      </w:r>
      <w:r w:rsidRPr="00BC2421">
        <w:rPr>
          <w:color w:val="000000"/>
          <w:shd w:val="clear" w:color="auto" w:fill="FFFFFF"/>
        </w:rPr>
        <w:t xml:space="preserve"> планування окремих частин території України (ст. 12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3E4BC4" w:rsidRPr="00BC2421" w:rsidRDefault="003E4BC4" w:rsidP="003E4BC4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Планування територій на місцевому рівні (ст. 16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E2597E" w:rsidRPr="00BC2421" w:rsidRDefault="00E2597E" w:rsidP="00E2597E">
      <w:pPr>
        <w:numPr>
          <w:ilvl w:val="0"/>
          <w:numId w:val="4"/>
        </w:numPr>
        <w:jc w:val="both"/>
        <w:rPr>
          <w:color w:val="000000"/>
          <w:shd w:val="clear" w:color="auto" w:fill="FFFFFF"/>
        </w:rPr>
      </w:pPr>
      <w:r w:rsidRPr="00BC2421">
        <w:rPr>
          <w:color w:val="000000"/>
          <w:shd w:val="clear" w:color="auto" w:fill="FFFFFF"/>
        </w:rPr>
        <w:t xml:space="preserve">Генеральний план населеного пункту </w:t>
      </w:r>
      <w:r w:rsidRPr="00BC2421">
        <w:t xml:space="preserve"> </w:t>
      </w:r>
      <w:r w:rsidRPr="00BC2421">
        <w:rPr>
          <w:color w:val="000000"/>
          <w:shd w:val="clear" w:color="auto" w:fill="FFFFFF"/>
        </w:rPr>
        <w:t xml:space="preserve">(ст. 17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E2597E" w:rsidRPr="00BC2421" w:rsidRDefault="00E2597E" w:rsidP="00E2597E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BC2421">
        <w:rPr>
          <w:color w:val="000000"/>
          <w:shd w:val="clear" w:color="auto" w:fill="FFFFFF"/>
        </w:rPr>
        <w:t xml:space="preserve">План зонування території (ст. 18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F5784B" w:rsidRPr="00BC2421" w:rsidRDefault="00F5784B" w:rsidP="00F5784B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Детальний план території (ст. 19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B809D4" w:rsidRPr="00BC2421" w:rsidRDefault="00B809D4" w:rsidP="00B809D4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Архітектурно-містобудівні ради (ст. 20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527412" w:rsidRPr="00BC2421" w:rsidRDefault="00527412" w:rsidP="00527412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Містобудівний кадастр (ст. 22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</w:p>
    <w:p w:rsidR="00527412" w:rsidRPr="00BC2421" w:rsidRDefault="00527412" w:rsidP="00527412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Режим забудови територій, визначених для містобудівних потреб (ст. 25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527412" w:rsidRPr="00BC2421" w:rsidRDefault="00527412" w:rsidP="00527412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Проектна документація на будівництво (ст. 31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527412" w:rsidRPr="00BC2421" w:rsidRDefault="00527412" w:rsidP="00527412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Право на виконання будівельних робіт (ст. 34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527412" w:rsidRPr="00BC2421" w:rsidRDefault="00527412" w:rsidP="00527412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Дозвіл на виконання будівельних робіт (ст. 37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527412" w:rsidRPr="00BC2421" w:rsidRDefault="00527412" w:rsidP="00527412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Знесення самочинно збудованих об’єктів (ст. 38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527412" w:rsidRPr="00BC2421" w:rsidRDefault="00527412" w:rsidP="00527412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Пайова участь у розвитку інфраструктури населеного пункту (ст. 40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527412" w:rsidRPr="00BC2421" w:rsidRDefault="00527412" w:rsidP="00527412">
      <w:pPr>
        <w:numPr>
          <w:ilvl w:val="0"/>
          <w:numId w:val="4"/>
        </w:numPr>
        <w:jc w:val="both"/>
        <w:rPr>
          <w:noProof w:val="0"/>
          <w:lang w:eastAsia="uk-UA"/>
        </w:rPr>
      </w:pPr>
      <w:r w:rsidRPr="00BC2421">
        <w:rPr>
          <w:color w:val="000000"/>
          <w:shd w:val="clear" w:color="auto" w:fill="FFFFFF"/>
        </w:rPr>
        <w:t xml:space="preserve">Державний архітектурно-будівельний контроль (ст. 41 ЗУ «Про </w:t>
      </w:r>
      <w:r w:rsidRPr="00BC2421">
        <w:rPr>
          <w:bCs/>
          <w:color w:val="000000"/>
          <w:shd w:val="clear" w:color="auto" w:fill="FFFFFF"/>
        </w:rPr>
        <w:t>регулювання містобудівної діяльності</w:t>
      </w:r>
      <w:r w:rsidRPr="00BC2421">
        <w:rPr>
          <w:color w:val="000000"/>
          <w:shd w:val="clear" w:color="auto" w:fill="FFFFFF"/>
        </w:rPr>
        <w:t>»)</w:t>
      </w:r>
      <w:r w:rsidR="00267C26">
        <w:rPr>
          <w:color w:val="000000"/>
          <w:shd w:val="clear" w:color="auto" w:fill="FFFFFF"/>
        </w:rPr>
        <w:t>.</w:t>
      </w:r>
    </w:p>
    <w:p w:rsidR="00904FBB" w:rsidRPr="00BC2421" w:rsidRDefault="00904FBB" w:rsidP="00527412">
      <w:pPr>
        <w:ind w:left="720"/>
        <w:jc w:val="both"/>
        <w:rPr>
          <w:noProof w:val="0"/>
          <w:lang w:eastAsia="uk-UA"/>
        </w:rPr>
      </w:pPr>
    </w:p>
    <w:p w:rsidR="008423DB" w:rsidRPr="00920C2D" w:rsidRDefault="00904FBB" w:rsidP="00BC2421">
      <w:pPr>
        <w:jc w:val="both"/>
      </w:pPr>
      <w:r w:rsidRPr="00BC2421">
        <w:rPr>
          <w:noProof w:val="0"/>
          <w:lang w:eastAsia="uk-UA"/>
        </w:rPr>
        <w:t xml:space="preserve"> </w:t>
      </w:r>
      <w:r w:rsidR="008423DB" w:rsidRPr="00920C2D">
        <w:t xml:space="preserve">Начальник відділу кадрової роботи та </w:t>
      </w:r>
    </w:p>
    <w:p w:rsidR="008423DB" w:rsidRPr="00920C2D" w:rsidRDefault="008423DB" w:rsidP="00F61C31">
      <w:pPr>
        <w:shd w:val="clear" w:color="auto" w:fill="FFFFFF"/>
      </w:pPr>
      <w:r w:rsidRPr="00920C2D">
        <w:t>з питань запобігання і виявлення корупції                               Т.В. Михалюк</w:t>
      </w:r>
    </w:p>
    <w:sectPr w:rsidR="008423DB" w:rsidRPr="00920C2D" w:rsidSect="00BC2421">
      <w:pgSz w:w="11906" w:h="16838"/>
      <w:pgMar w:top="142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3E9E"/>
    <w:multiLevelType w:val="hybridMultilevel"/>
    <w:tmpl w:val="B714EA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A5CDF"/>
    <w:multiLevelType w:val="hybridMultilevel"/>
    <w:tmpl w:val="D81C3D42"/>
    <w:lvl w:ilvl="0" w:tplc="72E403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5772"/>
    <w:multiLevelType w:val="hybridMultilevel"/>
    <w:tmpl w:val="BA38953C"/>
    <w:lvl w:ilvl="0" w:tplc="259082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5076"/>
    <w:multiLevelType w:val="hybridMultilevel"/>
    <w:tmpl w:val="B714EA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F1564"/>
    <w:multiLevelType w:val="hybridMultilevel"/>
    <w:tmpl w:val="411C3C9A"/>
    <w:lvl w:ilvl="0" w:tplc="6D04AE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21291"/>
    <w:multiLevelType w:val="hybridMultilevel"/>
    <w:tmpl w:val="411C3C9A"/>
    <w:lvl w:ilvl="0" w:tplc="6D04AE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890155"/>
    <w:multiLevelType w:val="hybridMultilevel"/>
    <w:tmpl w:val="EE4449B8"/>
    <w:lvl w:ilvl="0" w:tplc="2E9204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2521"/>
    <w:multiLevelType w:val="hybridMultilevel"/>
    <w:tmpl w:val="B714EA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2E7954"/>
    <w:multiLevelType w:val="hybridMultilevel"/>
    <w:tmpl w:val="B714EA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FF2FF8"/>
    <w:multiLevelType w:val="hybridMultilevel"/>
    <w:tmpl w:val="2780D3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30296"/>
    <w:multiLevelType w:val="hybridMultilevel"/>
    <w:tmpl w:val="B714EA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A56137"/>
    <w:multiLevelType w:val="hybridMultilevel"/>
    <w:tmpl w:val="5F00DA96"/>
    <w:lvl w:ilvl="0" w:tplc="CDEA36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41042"/>
    <w:multiLevelType w:val="hybridMultilevel"/>
    <w:tmpl w:val="D83ACF8A"/>
    <w:lvl w:ilvl="0" w:tplc="AEB862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83CCE"/>
    <w:multiLevelType w:val="hybridMultilevel"/>
    <w:tmpl w:val="AC909B60"/>
    <w:lvl w:ilvl="0" w:tplc="7F6E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2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CA"/>
    <w:rsid w:val="000172BD"/>
    <w:rsid w:val="00050EDD"/>
    <w:rsid w:val="002502D8"/>
    <w:rsid w:val="00267C26"/>
    <w:rsid w:val="002C671A"/>
    <w:rsid w:val="003648CA"/>
    <w:rsid w:val="003E4BC4"/>
    <w:rsid w:val="00422158"/>
    <w:rsid w:val="004306AB"/>
    <w:rsid w:val="00477EFF"/>
    <w:rsid w:val="00527412"/>
    <w:rsid w:val="005B76D8"/>
    <w:rsid w:val="00622B4C"/>
    <w:rsid w:val="00723260"/>
    <w:rsid w:val="007256D0"/>
    <w:rsid w:val="007D7476"/>
    <w:rsid w:val="00803D15"/>
    <w:rsid w:val="00820756"/>
    <w:rsid w:val="008423DB"/>
    <w:rsid w:val="008E7EE9"/>
    <w:rsid w:val="00904FBB"/>
    <w:rsid w:val="00920C2D"/>
    <w:rsid w:val="009D3325"/>
    <w:rsid w:val="009E0658"/>
    <w:rsid w:val="009E7819"/>
    <w:rsid w:val="00A13676"/>
    <w:rsid w:val="00B25648"/>
    <w:rsid w:val="00B55324"/>
    <w:rsid w:val="00B76A9D"/>
    <w:rsid w:val="00B809D4"/>
    <w:rsid w:val="00BC2421"/>
    <w:rsid w:val="00D15B62"/>
    <w:rsid w:val="00E2597E"/>
    <w:rsid w:val="00F5784B"/>
    <w:rsid w:val="00F61C31"/>
    <w:rsid w:val="00F81264"/>
    <w:rsid w:val="00FE492B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DABC"/>
  <w15:chartTrackingRefBased/>
  <w15:docId w15:val="{773E33DB-A346-429C-BA6A-2DD251EB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8C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1C4E"/>
    <w:pPr>
      <w:keepNext/>
      <w:keepLines/>
      <w:spacing w:before="240"/>
      <w:jc w:val="center"/>
      <w:outlineLvl w:val="0"/>
    </w:pPr>
    <w:rPr>
      <w:rFonts w:eastAsia="Cambria" w:cs="Cambria"/>
      <w:noProof w:val="0"/>
      <w:sz w:val="28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B76A9D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C4E"/>
    <w:rPr>
      <w:rFonts w:ascii="Times New Roman" w:eastAsia="Cambria" w:hAnsi="Times New Roman" w:cs="Cambria"/>
      <w:sz w:val="28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76A9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6A9D"/>
    <w:rPr>
      <w:rFonts w:ascii="Segoe UI" w:eastAsia="Times New Roman" w:hAnsi="Segoe UI" w:cs="Segoe UI"/>
      <w:noProof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6A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rvts9">
    <w:name w:val="rvts9"/>
    <w:basedOn w:val="a0"/>
    <w:rsid w:val="009D3325"/>
  </w:style>
  <w:style w:type="table" w:styleId="a5">
    <w:name w:val="Table Grid"/>
    <w:basedOn w:val="a1"/>
    <w:uiPriority w:val="39"/>
    <w:rsid w:val="00B25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7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Slavik</dc:creator>
  <cp:keywords/>
  <dc:description/>
  <cp:lastModifiedBy>Slavik</cp:lastModifiedBy>
  <cp:revision>28</cp:revision>
  <cp:lastPrinted>2018-04-17T06:21:00Z</cp:lastPrinted>
  <dcterms:created xsi:type="dcterms:W3CDTF">2018-03-13T07:20:00Z</dcterms:created>
  <dcterms:modified xsi:type="dcterms:W3CDTF">2018-04-17T06:24:00Z</dcterms:modified>
</cp:coreProperties>
</file>