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85" w:rsidRPr="00A8397E" w:rsidRDefault="00212FA4" w:rsidP="00A636A0">
      <w:pPr>
        <w:textAlignment w:val="baseline"/>
        <w:rPr>
          <w:b/>
          <w:szCs w:val="24"/>
        </w:rPr>
      </w:pPr>
      <w:r w:rsidRPr="00A8397E">
        <w:rPr>
          <w:b/>
          <w:szCs w:val="24"/>
        </w:rPr>
        <w:t xml:space="preserve">ЗВЕДЕНА </w:t>
      </w:r>
      <w:r w:rsidR="00A636A0" w:rsidRPr="00A8397E">
        <w:rPr>
          <w:b/>
          <w:szCs w:val="24"/>
        </w:rPr>
        <w:t>ІНФОРМАЦІЯ</w:t>
      </w:r>
    </w:p>
    <w:p w:rsidR="00A636A0" w:rsidRPr="00A8397E" w:rsidRDefault="005E798A" w:rsidP="00A636A0">
      <w:pPr>
        <w:textAlignment w:val="baseline"/>
        <w:rPr>
          <w:iCs/>
          <w:szCs w:val="24"/>
        </w:rPr>
      </w:pPr>
      <w:r w:rsidRPr="00A8397E">
        <w:rPr>
          <w:szCs w:val="24"/>
        </w:rPr>
        <w:t xml:space="preserve">про карантинні обмеження, які запроваджені на території області </w:t>
      </w:r>
      <w:r w:rsidR="006D01B6" w:rsidRPr="00A8397E">
        <w:rPr>
          <w:szCs w:val="24"/>
        </w:rPr>
        <w:t>відповідно до</w:t>
      </w:r>
      <w:r w:rsidRPr="00A8397E">
        <w:rPr>
          <w:szCs w:val="24"/>
        </w:rPr>
        <w:t xml:space="preserve"> постанови </w:t>
      </w:r>
      <w:r w:rsidRPr="00A8397E">
        <w:rPr>
          <w:iCs/>
          <w:szCs w:val="24"/>
        </w:rPr>
        <w:t>Кабінету Міністрів України від 20 травня 2020 року № 392</w:t>
      </w:r>
    </w:p>
    <w:p w:rsidR="00A636A0" w:rsidRPr="00A8397E" w:rsidRDefault="00232B84" w:rsidP="00A636A0">
      <w:pPr>
        <w:textAlignment w:val="baseline"/>
        <w:rPr>
          <w:rFonts w:eastAsia="Times New Roman" w:cs="Times New Roman"/>
          <w:bCs/>
          <w:color w:val="1D1D1B"/>
          <w:szCs w:val="24"/>
          <w:lang w:eastAsia="ru-RU"/>
        </w:rPr>
      </w:pPr>
      <w:r w:rsidRPr="00A8397E">
        <w:rPr>
          <w:iCs/>
          <w:szCs w:val="24"/>
        </w:rPr>
        <w:t>«</w:t>
      </w:r>
      <w:r w:rsidRPr="00A8397E">
        <w:rPr>
          <w:rFonts w:eastAsia="Times New Roman" w:cs="Times New Roman"/>
          <w:bCs/>
          <w:color w:val="1D1D1B"/>
          <w:szCs w:val="24"/>
          <w:lang w:eastAsia="ru-RU"/>
        </w:rPr>
        <w:t>Про встановлення карантину з метою зап</w:t>
      </w:r>
      <w:r w:rsidR="00A636A0" w:rsidRPr="00A8397E">
        <w:rPr>
          <w:rFonts w:eastAsia="Times New Roman" w:cs="Times New Roman"/>
          <w:bCs/>
          <w:color w:val="1D1D1B"/>
          <w:szCs w:val="24"/>
          <w:lang w:eastAsia="ru-RU"/>
        </w:rPr>
        <w:t>обігання поширенню на території</w:t>
      </w:r>
    </w:p>
    <w:p w:rsidR="00A636A0" w:rsidRPr="00A8397E" w:rsidRDefault="00232B84" w:rsidP="00A636A0">
      <w:pPr>
        <w:textAlignment w:val="baseline"/>
        <w:rPr>
          <w:szCs w:val="24"/>
        </w:rPr>
      </w:pPr>
      <w:r w:rsidRPr="00A8397E">
        <w:rPr>
          <w:rFonts w:eastAsia="Times New Roman" w:cs="Times New Roman"/>
          <w:bCs/>
          <w:color w:val="1D1D1B"/>
          <w:szCs w:val="24"/>
          <w:lang w:eastAsia="ru-RU"/>
        </w:rPr>
        <w:t xml:space="preserve">України гострої респіраторної хвороби COVID-19, спричиненої коронавірусом SARS-CoV-2, та етапів послаблення протиепідемічних заходів» </w:t>
      </w:r>
      <w:r w:rsidRPr="00A8397E">
        <w:rPr>
          <w:iCs/>
          <w:szCs w:val="24"/>
        </w:rPr>
        <w:t>(</w:t>
      </w:r>
      <w:r w:rsidR="005E798A" w:rsidRPr="00A8397E">
        <w:rPr>
          <w:iCs/>
          <w:szCs w:val="24"/>
        </w:rPr>
        <w:t>зі змінами</w:t>
      </w:r>
      <w:r w:rsidRPr="00A8397E">
        <w:rPr>
          <w:iCs/>
          <w:szCs w:val="24"/>
        </w:rPr>
        <w:t>)</w:t>
      </w:r>
      <w:r w:rsidR="006D01B6" w:rsidRPr="00A8397E">
        <w:rPr>
          <w:iCs/>
          <w:szCs w:val="24"/>
        </w:rPr>
        <w:t xml:space="preserve"> та рішень</w:t>
      </w:r>
      <w:r w:rsidR="006D01B6" w:rsidRPr="00A8397E">
        <w:rPr>
          <w:szCs w:val="24"/>
        </w:rPr>
        <w:t xml:space="preserve"> Волинсько</w:t>
      </w:r>
      <w:r w:rsidR="00B30AF9" w:rsidRPr="00A8397E">
        <w:rPr>
          <w:szCs w:val="24"/>
        </w:rPr>
        <w:t>ї</w:t>
      </w:r>
      <w:r w:rsidR="006D01B6" w:rsidRPr="00A8397E">
        <w:rPr>
          <w:szCs w:val="24"/>
        </w:rPr>
        <w:t xml:space="preserve"> регіональної комісії </w:t>
      </w:r>
      <w:r w:rsidR="00A636A0" w:rsidRPr="00A8397E">
        <w:rPr>
          <w:szCs w:val="24"/>
        </w:rPr>
        <w:t>з питань техногенно-екологічної</w:t>
      </w:r>
    </w:p>
    <w:p w:rsidR="00232B84" w:rsidRPr="00A8397E" w:rsidRDefault="006D01B6" w:rsidP="00A636A0">
      <w:pPr>
        <w:textAlignment w:val="baseline"/>
        <w:rPr>
          <w:iCs/>
          <w:szCs w:val="24"/>
        </w:rPr>
      </w:pPr>
      <w:r w:rsidRPr="00A8397E">
        <w:rPr>
          <w:szCs w:val="24"/>
        </w:rPr>
        <w:t>безпеки та надзвичайних ситуацій</w:t>
      </w:r>
    </w:p>
    <w:p w:rsidR="00232B84" w:rsidRPr="00A8397E" w:rsidRDefault="00232B84" w:rsidP="00A636A0">
      <w:pPr>
        <w:rPr>
          <w:iCs/>
          <w:sz w:val="20"/>
          <w:szCs w:val="24"/>
        </w:rPr>
      </w:pPr>
    </w:p>
    <w:p w:rsidR="005E798A" w:rsidRPr="00A8397E" w:rsidRDefault="005E798A" w:rsidP="00232B84">
      <w:pPr>
        <w:jc w:val="right"/>
        <w:rPr>
          <w:iCs/>
          <w:sz w:val="24"/>
          <w:szCs w:val="24"/>
        </w:rPr>
      </w:pPr>
      <w:r w:rsidRPr="00A8397E">
        <w:rPr>
          <w:iCs/>
          <w:sz w:val="24"/>
          <w:szCs w:val="24"/>
        </w:rPr>
        <w:t xml:space="preserve">станом на </w:t>
      </w:r>
      <w:r w:rsidR="00472A69">
        <w:rPr>
          <w:iCs/>
          <w:sz w:val="24"/>
          <w:szCs w:val="24"/>
        </w:rPr>
        <w:t>19</w:t>
      </w:r>
      <w:r w:rsidRPr="00A8397E">
        <w:rPr>
          <w:iCs/>
          <w:sz w:val="24"/>
          <w:szCs w:val="24"/>
        </w:rPr>
        <w:t xml:space="preserve"> червня 2020 року</w:t>
      </w:r>
    </w:p>
    <w:p w:rsidR="00A636A0" w:rsidRPr="00A8397E" w:rsidRDefault="00A636A0" w:rsidP="00232B84">
      <w:pPr>
        <w:jc w:val="right"/>
        <w:rPr>
          <w:iCs/>
          <w:sz w:val="12"/>
          <w:szCs w:val="24"/>
        </w:rPr>
      </w:pPr>
    </w:p>
    <w:tbl>
      <w:tblPr>
        <w:tblStyle w:val="a3"/>
        <w:tblW w:w="9887" w:type="dxa"/>
        <w:tblInd w:w="-147" w:type="dxa"/>
        <w:tblLook w:val="04A0" w:firstRow="1" w:lastRow="0" w:firstColumn="1" w:lastColumn="0" w:noHBand="0" w:noVBand="1"/>
      </w:tblPr>
      <w:tblGrid>
        <w:gridCol w:w="456"/>
        <w:gridCol w:w="4364"/>
        <w:gridCol w:w="636"/>
        <w:gridCol w:w="4416"/>
        <w:gridCol w:w="15"/>
      </w:tblGrid>
      <w:tr w:rsidR="00D220C4" w:rsidRPr="00A8397E" w:rsidTr="0073608D">
        <w:tc>
          <w:tcPr>
            <w:tcW w:w="9887" w:type="dxa"/>
            <w:gridSpan w:val="5"/>
            <w:vAlign w:val="center"/>
          </w:tcPr>
          <w:p w:rsidR="00D220C4" w:rsidRPr="00A8397E" w:rsidRDefault="00D220C4" w:rsidP="004A5F47">
            <w:pPr>
              <w:rPr>
                <w:sz w:val="24"/>
              </w:rPr>
            </w:pPr>
            <w:r w:rsidRPr="00A8397E">
              <w:rPr>
                <w:sz w:val="24"/>
              </w:rPr>
              <w:t>Протиепідемічні заходи</w:t>
            </w:r>
          </w:p>
        </w:tc>
      </w:tr>
      <w:tr w:rsidR="00A41B6D" w:rsidRPr="00A8397E" w:rsidTr="0073608D">
        <w:trPr>
          <w:gridAfter w:val="1"/>
          <w:wAfter w:w="15" w:type="dxa"/>
        </w:trPr>
        <w:tc>
          <w:tcPr>
            <w:tcW w:w="456" w:type="dxa"/>
            <w:vAlign w:val="center"/>
          </w:tcPr>
          <w:p w:rsidR="00A41B6D" w:rsidRPr="00A8397E" w:rsidRDefault="00A41B6D" w:rsidP="00A636A0">
            <w:pPr>
              <w:ind w:left="-120" w:right="-102"/>
              <w:rPr>
                <w:sz w:val="24"/>
              </w:rPr>
            </w:pPr>
            <w:r w:rsidRPr="00A8397E">
              <w:rPr>
                <w:sz w:val="24"/>
              </w:rPr>
              <w:t>№</w:t>
            </w:r>
          </w:p>
          <w:p w:rsidR="00A41B6D" w:rsidRPr="00A8397E" w:rsidRDefault="00A41B6D" w:rsidP="00A636A0">
            <w:pPr>
              <w:ind w:left="-120" w:right="-102"/>
              <w:rPr>
                <w:sz w:val="24"/>
              </w:rPr>
            </w:pPr>
            <w:r w:rsidRPr="00A8397E">
              <w:rPr>
                <w:sz w:val="24"/>
              </w:rPr>
              <w:t>з/п</w:t>
            </w:r>
          </w:p>
        </w:tc>
        <w:tc>
          <w:tcPr>
            <w:tcW w:w="4364" w:type="dxa"/>
            <w:vAlign w:val="center"/>
          </w:tcPr>
          <w:p w:rsidR="00A41B6D" w:rsidRPr="00A8397E" w:rsidRDefault="00667185" w:rsidP="004A5F47">
            <w:pPr>
              <w:rPr>
                <w:sz w:val="24"/>
              </w:rPr>
            </w:pPr>
            <w:r w:rsidRPr="00A8397E">
              <w:rPr>
                <w:sz w:val="24"/>
              </w:rPr>
              <w:t>Заборонено</w:t>
            </w:r>
          </w:p>
        </w:tc>
        <w:tc>
          <w:tcPr>
            <w:tcW w:w="636" w:type="dxa"/>
          </w:tcPr>
          <w:p w:rsidR="00A41B6D" w:rsidRPr="00A8397E" w:rsidRDefault="00A41B6D" w:rsidP="00A636A0">
            <w:pPr>
              <w:ind w:left="-84" w:right="-62"/>
              <w:rPr>
                <w:sz w:val="24"/>
              </w:rPr>
            </w:pPr>
            <w:r w:rsidRPr="00A8397E">
              <w:rPr>
                <w:sz w:val="24"/>
              </w:rPr>
              <w:t>№</w:t>
            </w:r>
          </w:p>
          <w:p w:rsidR="00A41B6D" w:rsidRPr="00A8397E" w:rsidRDefault="00A41B6D" w:rsidP="00A636A0">
            <w:pPr>
              <w:ind w:left="-84" w:right="-62"/>
              <w:rPr>
                <w:sz w:val="24"/>
              </w:rPr>
            </w:pPr>
            <w:r w:rsidRPr="00A8397E">
              <w:rPr>
                <w:sz w:val="24"/>
              </w:rPr>
              <w:t>з/п</w:t>
            </w:r>
          </w:p>
        </w:tc>
        <w:tc>
          <w:tcPr>
            <w:tcW w:w="4416" w:type="dxa"/>
            <w:vAlign w:val="center"/>
          </w:tcPr>
          <w:p w:rsidR="00A41B6D" w:rsidRPr="00A8397E" w:rsidRDefault="00667185" w:rsidP="004A5F47">
            <w:pPr>
              <w:rPr>
                <w:sz w:val="24"/>
              </w:rPr>
            </w:pPr>
            <w:r w:rsidRPr="00A8397E">
              <w:rPr>
                <w:sz w:val="24"/>
              </w:rPr>
              <w:t>Дозволено</w:t>
            </w:r>
          </w:p>
        </w:tc>
      </w:tr>
      <w:tr w:rsidR="00A41B6D" w:rsidRPr="00A8397E" w:rsidTr="0073608D">
        <w:trPr>
          <w:gridAfter w:val="1"/>
          <w:wAfter w:w="15" w:type="dxa"/>
        </w:trPr>
        <w:tc>
          <w:tcPr>
            <w:tcW w:w="456" w:type="dxa"/>
          </w:tcPr>
          <w:p w:rsidR="00A41B6D" w:rsidRPr="00A8397E" w:rsidRDefault="00A41B6D" w:rsidP="00616F4F">
            <w:pPr>
              <w:rPr>
                <w:sz w:val="23"/>
                <w:szCs w:val="23"/>
              </w:rPr>
            </w:pPr>
            <w:r w:rsidRPr="00A8397E">
              <w:rPr>
                <w:sz w:val="23"/>
                <w:szCs w:val="23"/>
              </w:rPr>
              <w:t>1</w:t>
            </w:r>
          </w:p>
        </w:tc>
        <w:tc>
          <w:tcPr>
            <w:tcW w:w="4364" w:type="dxa"/>
          </w:tcPr>
          <w:p w:rsidR="00A41B6D" w:rsidRPr="00A8397E" w:rsidRDefault="00A41B6D" w:rsidP="0073608D">
            <w:pPr>
              <w:jc w:val="left"/>
              <w:rPr>
                <w:sz w:val="23"/>
                <w:szCs w:val="23"/>
              </w:rPr>
            </w:pPr>
            <w:r w:rsidRPr="00A8397E">
              <w:rPr>
                <w:sz w:val="23"/>
                <w:szCs w:val="23"/>
              </w:rPr>
              <w:t>Перебування в громадських будинках і спорудах, громадському транспорті без вдягнутих засобів індивідуального захисту, зокрема респіраторів або захисних масок, що закривають ніс та рот, у тому числі виготовлених самостійно.</w:t>
            </w:r>
          </w:p>
        </w:tc>
        <w:tc>
          <w:tcPr>
            <w:tcW w:w="636" w:type="dxa"/>
            <w:vMerge w:val="restart"/>
          </w:tcPr>
          <w:p w:rsidR="00A41B6D" w:rsidRPr="00A8397E" w:rsidRDefault="00A41B6D" w:rsidP="00616F4F">
            <w:pPr>
              <w:rPr>
                <w:sz w:val="23"/>
                <w:szCs w:val="23"/>
              </w:rPr>
            </w:pPr>
          </w:p>
        </w:tc>
        <w:tc>
          <w:tcPr>
            <w:tcW w:w="4416" w:type="dxa"/>
            <w:vMerge w:val="restart"/>
            <w:vAlign w:val="center"/>
          </w:tcPr>
          <w:p w:rsidR="00A41B6D" w:rsidRPr="00A8397E" w:rsidRDefault="00A41B6D" w:rsidP="00A636A0">
            <w:pPr>
              <w:ind w:right="-105"/>
              <w:jc w:val="left"/>
              <w:rPr>
                <w:sz w:val="23"/>
                <w:szCs w:val="23"/>
              </w:rPr>
            </w:pPr>
          </w:p>
        </w:tc>
      </w:tr>
      <w:tr w:rsidR="00A41B6D" w:rsidRPr="00A8397E" w:rsidTr="0073608D">
        <w:trPr>
          <w:gridAfter w:val="1"/>
          <w:wAfter w:w="15" w:type="dxa"/>
        </w:trPr>
        <w:tc>
          <w:tcPr>
            <w:tcW w:w="456" w:type="dxa"/>
          </w:tcPr>
          <w:p w:rsidR="00A41B6D" w:rsidRPr="00A8397E" w:rsidRDefault="00A41B6D" w:rsidP="001745CE">
            <w:pPr>
              <w:rPr>
                <w:sz w:val="23"/>
                <w:szCs w:val="23"/>
              </w:rPr>
            </w:pPr>
            <w:r w:rsidRPr="00A8397E">
              <w:rPr>
                <w:sz w:val="23"/>
                <w:szCs w:val="23"/>
              </w:rPr>
              <w:t>2</w:t>
            </w:r>
          </w:p>
        </w:tc>
        <w:tc>
          <w:tcPr>
            <w:tcW w:w="4364" w:type="dxa"/>
          </w:tcPr>
          <w:p w:rsidR="00A41B6D" w:rsidRPr="00A8397E" w:rsidRDefault="00A41B6D" w:rsidP="0073608D">
            <w:pPr>
              <w:jc w:val="left"/>
              <w:rPr>
                <w:sz w:val="23"/>
                <w:szCs w:val="23"/>
              </w:rPr>
            </w:pPr>
            <w:r w:rsidRPr="00A8397E">
              <w:rPr>
                <w:sz w:val="23"/>
                <w:szCs w:val="23"/>
              </w:rPr>
              <w:t>Перебування на вулицях без документів, що посвідчують особу, підтверджують громадянство чи її спеціальний статус.</w:t>
            </w:r>
          </w:p>
        </w:tc>
        <w:tc>
          <w:tcPr>
            <w:tcW w:w="636" w:type="dxa"/>
            <w:vMerge/>
          </w:tcPr>
          <w:p w:rsidR="00A41B6D" w:rsidRPr="00A8397E" w:rsidRDefault="00A41B6D" w:rsidP="00616F4F">
            <w:pPr>
              <w:rPr>
                <w:sz w:val="23"/>
                <w:szCs w:val="23"/>
              </w:rPr>
            </w:pPr>
          </w:p>
        </w:tc>
        <w:tc>
          <w:tcPr>
            <w:tcW w:w="4416" w:type="dxa"/>
            <w:vMerge/>
            <w:vAlign w:val="center"/>
          </w:tcPr>
          <w:p w:rsidR="00A41B6D" w:rsidRPr="00A8397E" w:rsidRDefault="00A41B6D" w:rsidP="00A636A0">
            <w:pPr>
              <w:ind w:right="-105"/>
              <w:jc w:val="left"/>
              <w:rPr>
                <w:sz w:val="23"/>
                <w:szCs w:val="23"/>
              </w:rPr>
            </w:pPr>
          </w:p>
        </w:tc>
      </w:tr>
      <w:tr w:rsidR="00A41B6D" w:rsidRPr="00A8397E" w:rsidTr="0073608D">
        <w:trPr>
          <w:gridAfter w:val="1"/>
          <w:wAfter w:w="15" w:type="dxa"/>
        </w:trPr>
        <w:tc>
          <w:tcPr>
            <w:tcW w:w="456" w:type="dxa"/>
          </w:tcPr>
          <w:p w:rsidR="00A41B6D" w:rsidRPr="00A8397E" w:rsidRDefault="00A41B6D" w:rsidP="001745CE">
            <w:pPr>
              <w:rPr>
                <w:sz w:val="23"/>
                <w:szCs w:val="23"/>
              </w:rPr>
            </w:pPr>
            <w:r w:rsidRPr="00A8397E">
              <w:rPr>
                <w:sz w:val="23"/>
                <w:szCs w:val="23"/>
              </w:rPr>
              <w:t>3</w:t>
            </w:r>
          </w:p>
        </w:tc>
        <w:tc>
          <w:tcPr>
            <w:tcW w:w="4364" w:type="dxa"/>
          </w:tcPr>
          <w:p w:rsidR="00A41B6D" w:rsidRPr="00A8397E" w:rsidRDefault="00A41B6D" w:rsidP="0073608D">
            <w:pPr>
              <w:jc w:val="left"/>
              <w:rPr>
                <w:sz w:val="23"/>
                <w:szCs w:val="23"/>
              </w:rPr>
            </w:pPr>
            <w:r w:rsidRPr="00A8397E">
              <w:rPr>
                <w:sz w:val="23"/>
                <w:szCs w:val="23"/>
              </w:rPr>
              <w:t>Самовільно залишати місця самоізоляції, обсервації.</w:t>
            </w:r>
          </w:p>
        </w:tc>
        <w:tc>
          <w:tcPr>
            <w:tcW w:w="636" w:type="dxa"/>
            <w:vMerge/>
          </w:tcPr>
          <w:p w:rsidR="00A41B6D" w:rsidRPr="00A8397E" w:rsidRDefault="00A41B6D" w:rsidP="00616F4F">
            <w:pPr>
              <w:rPr>
                <w:sz w:val="23"/>
                <w:szCs w:val="23"/>
              </w:rPr>
            </w:pPr>
          </w:p>
        </w:tc>
        <w:tc>
          <w:tcPr>
            <w:tcW w:w="4416" w:type="dxa"/>
            <w:vMerge/>
            <w:vAlign w:val="center"/>
          </w:tcPr>
          <w:p w:rsidR="00A41B6D" w:rsidRPr="00A8397E" w:rsidRDefault="00A41B6D" w:rsidP="00A636A0">
            <w:pPr>
              <w:ind w:right="-105"/>
              <w:jc w:val="left"/>
              <w:rPr>
                <w:sz w:val="23"/>
                <w:szCs w:val="23"/>
              </w:rPr>
            </w:pPr>
          </w:p>
        </w:tc>
      </w:tr>
      <w:tr w:rsidR="00232B84" w:rsidRPr="00A8397E" w:rsidTr="0073608D">
        <w:trPr>
          <w:gridAfter w:val="1"/>
          <w:wAfter w:w="15" w:type="dxa"/>
        </w:trPr>
        <w:tc>
          <w:tcPr>
            <w:tcW w:w="456" w:type="dxa"/>
          </w:tcPr>
          <w:p w:rsidR="00232B84" w:rsidRPr="00A8397E" w:rsidRDefault="00667185" w:rsidP="001745CE">
            <w:pPr>
              <w:rPr>
                <w:sz w:val="23"/>
                <w:szCs w:val="23"/>
              </w:rPr>
            </w:pPr>
            <w:r w:rsidRPr="00A8397E">
              <w:rPr>
                <w:sz w:val="23"/>
                <w:szCs w:val="23"/>
              </w:rPr>
              <w:t>4</w:t>
            </w:r>
          </w:p>
        </w:tc>
        <w:tc>
          <w:tcPr>
            <w:tcW w:w="4364" w:type="dxa"/>
          </w:tcPr>
          <w:p w:rsidR="00232B84" w:rsidRPr="00A8397E" w:rsidRDefault="00232B84" w:rsidP="0073608D">
            <w:pPr>
              <w:jc w:val="left"/>
              <w:rPr>
                <w:sz w:val="23"/>
                <w:szCs w:val="23"/>
              </w:rPr>
            </w:pPr>
            <w:r w:rsidRPr="00A8397E">
              <w:rPr>
                <w:sz w:val="23"/>
                <w:szCs w:val="23"/>
              </w:rPr>
              <w:t>Відвідування закладів освіти її здобувачами</w:t>
            </w:r>
            <w:r w:rsidR="00A636A0" w:rsidRPr="00A8397E">
              <w:rPr>
                <w:sz w:val="23"/>
                <w:szCs w:val="23"/>
              </w:rPr>
              <w:t xml:space="preserve"> (крім пункту 4.1).</w:t>
            </w:r>
          </w:p>
          <w:p w:rsidR="00B30AF9" w:rsidRPr="00A8397E" w:rsidRDefault="00B30AF9" w:rsidP="0073608D">
            <w:pPr>
              <w:jc w:val="left"/>
              <w:rPr>
                <w:sz w:val="23"/>
                <w:szCs w:val="23"/>
              </w:rPr>
            </w:pPr>
          </w:p>
          <w:p w:rsidR="00B30AF9" w:rsidRPr="00A8397E" w:rsidRDefault="00B30AF9" w:rsidP="0073608D">
            <w:pPr>
              <w:jc w:val="left"/>
              <w:rPr>
                <w:sz w:val="23"/>
                <w:szCs w:val="23"/>
              </w:rPr>
            </w:pPr>
            <w:r w:rsidRPr="00A8397E">
              <w:rPr>
                <w:sz w:val="23"/>
                <w:szCs w:val="23"/>
              </w:rPr>
              <w:t>Відвідування закладів дошкільної освіти.</w:t>
            </w:r>
          </w:p>
        </w:tc>
        <w:tc>
          <w:tcPr>
            <w:tcW w:w="636" w:type="dxa"/>
          </w:tcPr>
          <w:p w:rsidR="00232B84" w:rsidRPr="00A8397E" w:rsidRDefault="006653B4" w:rsidP="00616F4F">
            <w:pPr>
              <w:jc w:val="left"/>
              <w:rPr>
                <w:sz w:val="23"/>
                <w:szCs w:val="23"/>
              </w:rPr>
            </w:pPr>
            <w:r w:rsidRPr="00A8397E">
              <w:rPr>
                <w:sz w:val="23"/>
                <w:szCs w:val="23"/>
              </w:rPr>
              <w:t>4.</w:t>
            </w:r>
            <w:r w:rsidR="00667185" w:rsidRPr="00A8397E">
              <w:rPr>
                <w:sz w:val="23"/>
                <w:szCs w:val="23"/>
              </w:rPr>
              <w:t>1</w:t>
            </w:r>
          </w:p>
        </w:tc>
        <w:tc>
          <w:tcPr>
            <w:tcW w:w="4416" w:type="dxa"/>
          </w:tcPr>
          <w:p w:rsidR="00232B84" w:rsidRPr="00A8397E" w:rsidRDefault="00232B84" w:rsidP="00A636A0">
            <w:pPr>
              <w:ind w:right="-105"/>
              <w:jc w:val="left"/>
              <w:rPr>
                <w:sz w:val="23"/>
                <w:szCs w:val="23"/>
              </w:rPr>
            </w:pPr>
            <w:r w:rsidRPr="00A8397E">
              <w:rPr>
                <w:sz w:val="23"/>
                <w:szCs w:val="23"/>
              </w:rPr>
              <w:t>Участь у пробному зовнішньому незалежному оцінюванні, державній підсумковій атестації у формі зовнішнього незалежного оцінювання, вступних випробуваннях, єдиному вступному іспиті з іноземної мови, єдиному фаховому вступному випробуванні, атестації у формі тестових екзаменів ліцензійних інтегрованих іспитів “КРОК”, а також здійснення підтвердження кваліфікації моряків, проведення підготовки моряків, членів екіпажів торговельних суден, у тому числі тих, що здійснюють плавання внутрішніми водними шляхами України, та проведення підготовки судноводіїв малих/маломірних суден.</w:t>
            </w:r>
          </w:p>
        </w:tc>
      </w:tr>
      <w:tr w:rsidR="00A41B6D" w:rsidRPr="00A8397E" w:rsidTr="0073608D">
        <w:trPr>
          <w:gridAfter w:val="1"/>
          <w:wAfter w:w="15" w:type="dxa"/>
        </w:trPr>
        <w:tc>
          <w:tcPr>
            <w:tcW w:w="456" w:type="dxa"/>
          </w:tcPr>
          <w:p w:rsidR="00A41B6D" w:rsidRPr="00A8397E" w:rsidRDefault="00A41B6D" w:rsidP="001745CE">
            <w:pPr>
              <w:rPr>
                <w:sz w:val="23"/>
                <w:szCs w:val="23"/>
              </w:rPr>
            </w:pPr>
            <w:r w:rsidRPr="00A8397E">
              <w:rPr>
                <w:sz w:val="23"/>
                <w:szCs w:val="23"/>
              </w:rPr>
              <w:t>5</w:t>
            </w:r>
          </w:p>
        </w:tc>
        <w:tc>
          <w:tcPr>
            <w:tcW w:w="4364" w:type="dxa"/>
          </w:tcPr>
          <w:p w:rsidR="00A41B6D" w:rsidRPr="00A8397E" w:rsidRDefault="00A41B6D" w:rsidP="0073608D">
            <w:pPr>
              <w:jc w:val="left"/>
              <w:rPr>
                <w:sz w:val="23"/>
                <w:szCs w:val="23"/>
              </w:rPr>
            </w:pPr>
            <w:r w:rsidRPr="00A8397E">
              <w:rPr>
                <w:sz w:val="23"/>
                <w:szCs w:val="23"/>
              </w:rPr>
              <w:t>Проведення масових (культурних, розважальних, спортивних, соціальних, релігійних, рекламних та інших) заходів з кількістю учасників більше ніж 10 осіб</w:t>
            </w:r>
            <w:r w:rsidR="00A636A0" w:rsidRPr="00A8397E">
              <w:rPr>
                <w:sz w:val="23"/>
                <w:szCs w:val="23"/>
              </w:rPr>
              <w:t xml:space="preserve"> (крім пункту 5.1).</w:t>
            </w:r>
            <w:r w:rsidRPr="00A8397E">
              <w:rPr>
                <w:sz w:val="23"/>
                <w:szCs w:val="23"/>
              </w:rPr>
              <w:t>.</w:t>
            </w:r>
          </w:p>
        </w:tc>
        <w:tc>
          <w:tcPr>
            <w:tcW w:w="636" w:type="dxa"/>
            <w:tcBorders>
              <w:bottom w:val="single" w:sz="4" w:space="0" w:color="auto"/>
            </w:tcBorders>
          </w:tcPr>
          <w:p w:rsidR="00A41B6D" w:rsidRPr="00A8397E" w:rsidRDefault="006653B4" w:rsidP="00A41B6D">
            <w:pPr>
              <w:rPr>
                <w:sz w:val="23"/>
                <w:szCs w:val="23"/>
              </w:rPr>
            </w:pPr>
            <w:r w:rsidRPr="00A8397E">
              <w:rPr>
                <w:sz w:val="23"/>
                <w:szCs w:val="23"/>
              </w:rPr>
              <w:t>5.1</w:t>
            </w:r>
          </w:p>
        </w:tc>
        <w:tc>
          <w:tcPr>
            <w:tcW w:w="4416" w:type="dxa"/>
            <w:tcBorders>
              <w:bottom w:val="single" w:sz="4" w:space="0" w:color="auto"/>
            </w:tcBorders>
          </w:tcPr>
          <w:p w:rsidR="00A41B6D" w:rsidRPr="00A8397E" w:rsidRDefault="00A41B6D" w:rsidP="00A636A0">
            <w:pPr>
              <w:ind w:right="-105"/>
              <w:jc w:val="left"/>
              <w:rPr>
                <w:sz w:val="23"/>
                <w:szCs w:val="23"/>
              </w:rPr>
            </w:pPr>
            <w:r w:rsidRPr="00A8397E">
              <w:rPr>
                <w:sz w:val="23"/>
                <w:szCs w:val="23"/>
              </w:rPr>
              <w:t>Проведення заходів, необхідних для забезпечення роботи органів державної влади та органів місцевого самоврядування, навчально-тренувальних зборів спортсменів національних збірних команд України з олімпійських, неолімпійських, національних видів спорту та видів спорту осіб з інвалідністю, навчально-тренувального процесу спортсменів командних ігрових видів спорту професійних спортивних клубів.</w:t>
            </w:r>
          </w:p>
        </w:tc>
      </w:tr>
      <w:tr w:rsidR="00A636A0" w:rsidRPr="00A8397E" w:rsidTr="0073608D">
        <w:trPr>
          <w:gridAfter w:val="1"/>
          <w:wAfter w:w="15" w:type="dxa"/>
        </w:trPr>
        <w:tc>
          <w:tcPr>
            <w:tcW w:w="456" w:type="dxa"/>
            <w:vMerge w:val="restart"/>
          </w:tcPr>
          <w:p w:rsidR="00A636A0" w:rsidRPr="00A8397E" w:rsidRDefault="00A636A0" w:rsidP="00A636A0">
            <w:pPr>
              <w:rPr>
                <w:sz w:val="23"/>
                <w:szCs w:val="23"/>
              </w:rPr>
            </w:pPr>
            <w:r w:rsidRPr="00A8397E">
              <w:rPr>
                <w:sz w:val="23"/>
                <w:szCs w:val="23"/>
              </w:rPr>
              <w:t>6</w:t>
            </w:r>
          </w:p>
        </w:tc>
        <w:tc>
          <w:tcPr>
            <w:tcW w:w="4364" w:type="dxa"/>
            <w:vMerge w:val="restart"/>
          </w:tcPr>
          <w:p w:rsidR="00A636A0" w:rsidRPr="00A8397E" w:rsidRDefault="00A636A0" w:rsidP="0073608D">
            <w:pPr>
              <w:jc w:val="left"/>
              <w:rPr>
                <w:sz w:val="23"/>
                <w:szCs w:val="23"/>
              </w:rPr>
            </w:pPr>
            <w:r w:rsidRPr="00A8397E">
              <w:rPr>
                <w:sz w:val="23"/>
                <w:szCs w:val="23"/>
              </w:rPr>
              <w:t>Робота закладів громадського харчування (ресторанів, кафе тощо), зокрема приймання відвідувачів у приміщеннях, торговельно-розважальних центрів (крім розміщених у них магазинів), діяльність закладів, що надають послуги з розміщення, закладів розважальної діяльності, фітнес-</w:t>
            </w:r>
            <w:r w:rsidRPr="00A8397E">
              <w:rPr>
                <w:sz w:val="23"/>
                <w:szCs w:val="23"/>
              </w:rPr>
              <w:lastRenderedPageBreak/>
              <w:t>центрів, закладів культури</w:t>
            </w:r>
            <w:r w:rsidR="002555B7" w:rsidRPr="00A8397E">
              <w:rPr>
                <w:sz w:val="23"/>
                <w:szCs w:val="23"/>
              </w:rPr>
              <w:t xml:space="preserve"> (крім пунктів 6.1 – 6.5)</w:t>
            </w:r>
            <w:r w:rsidRPr="00A8397E">
              <w:rPr>
                <w:sz w:val="23"/>
                <w:szCs w:val="23"/>
              </w:rPr>
              <w:t>.</w:t>
            </w:r>
          </w:p>
          <w:p w:rsidR="00A636A0" w:rsidRPr="00A8397E" w:rsidRDefault="00A636A0" w:rsidP="0073608D">
            <w:pPr>
              <w:jc w:val="left"/>
              <w:rPr>
                <w:sz w:val="23"/>
                <w:szCs w:val="23"/>
              </w:rPr>
            </w:pPr>
          </w:p>
          <w:p w:rsidR="00A636A0" w:rsidRPr="00A8397E" w:rsidRDefault="00A636A0" w:rsidP="0073608D">
            <w:pPr>
              <w:jc w:val="left"/>
              <w:rPr>
                <w:sz w:val="23"/>
                <w:szCs w:val="23"/>
              </w:rPr>
            </w:pPr>
            <w:r w:rsidRPr="00A8397E">
              <w:rPr>
                <w:sz w:val="23"/>
                <w:szCs w:val="23"/>
              </w:rPr>
              <w:t>Діяльність готелів.</w:t>
            </w:r>
          </w:p>
        </w:tc>
        <w:tc>
          <w:tcPr>
            <w:tcW w:w="636" w:type="dxa"/>
            <w:tcBorders>
              <w:bottom w:val="nil"/>
            </w:tcBorders>
          </w:tcPr>
          <w:p w:rsidR="00A636A0" w:rsidRPr="00A8397E" w:rsidRDefault="00A636A0" w:rsidP="00A636A0">
            <w:pPr>
              <w:rPr>
                <w:sz w:val="23"/>
                <w:szCs w:val="23"/>
              </w:rPr>
            </w:pPr>
            <w:r w:rsidRPr="00A8397E">
              <w:rPr>
                <w:sz w:val="23"/>
                <w:szCs w:val="23"/>
              </w:rPr>
              <w:lastRenderedPageBreak/>
              <w:t>6.1</w:t>
            </w:r>
          </w:p>
        </w:tc>
        <w:tc>
          <w:tcPr>
            <w:tcW w:w="4416" w:type="dxa"/>
            <w:tcBorders>
              <w:bottom w:val="nil"/>
            </w:tcBorders>
          </w:tcPr>
          <w:p w:rsidR="00A636A0" w:rsidRPr="00A8397E" w:rsidRDefault="00A636A0" w:rsidP="00A636A0">
            <w:pPr>
              <w:ind w:right="-105"/>
              <w:jc w:val="left"/>
              <w:rPr>
                <w:sz w:val="23"/>
                <w:szCs w:val="23"/>
              </w:rPr>
            </w:pPr>
            <w:r w:rsidRPr="00A8397E">
              <w:rPr>
                <w:sz w:val="23"/>
                <w:szCs w:val="23"/>
              </w:rPr>
              <w:t xml:space="preserve">Діяльність з надання послуг громадського харчування на відкритих (літніх) майданчиках, у тому числі під тентами, на верандах, за умови дотримання відстані не менш як 1,5 метра між місцями для сидіння за сусідніми столами та розміщення не більш як чотирьох клієнтів за одним столом (без </w:t>
            </w:r>
            <w:r w:rsidRPr="00A8397E">
              <w:rPr>
                <w:sz w:val="23"/>
                <w:szCs w:val="23"/>
              </w:rPr>
              <w:lastRenderedPageBreak/>
              <w:t>урахування дітей віком до 14 років), діяльність з надання послуг із здійсненням адресної доставки замовлень та замовлень на винос за умови, що суб’єкт господарювання, який провадить таку діяльність, є оператором ринку харчових продуктів відповідно до Закону України “Про основні принципи та вимоги до безпечності та якості харчових продуктів”, та за умови забезпечення персоналу засобами індивідуального захисту (зокрема захист обличчя, очей, рук) і використання відвідувачами, крім часу приймання їжі, респіраторів або захисних масок, у тому числі виготовлених самостійно.</w:t>
            </w:r>
          </w:p>
        </w:tc>
      </w:tr>
      <w:tr w:rsidR="00A636A0" w:rsidRPr="00A8397E" w:rsidTr="0073608D">
        <w:trPr>
          <w:gridAfter w:val="1"/>
          <w:wAfter w:w="15" w:type="dxa"/>
        </w:trPr>
        <w:tc>
          <w:tcPr>
            <w:tcW w:w="456" w:type="dxa"/>
            <w:vMerge/>
            <w:vAlign w:val="center"/>
          </w:tcPr>
          <w:p w:rsidR="00A636A0" w:rsidRPr="00A8397E" w:rsidRDefault="00A636A0" w:rsidP="00A636A0">
            <w:pPr>
              <w:rPr>
                <w:sz w:val="23"/>
                <w:szCs w:val="23"/>
              </w:rPr>
            </w:pPr>
          </w:p>
        </w:tc>
        <w:tc>
          <w:tcPr>
            <w:tcW w:w="4364" w:type="dxa"/>
            <w:vMerge/>
            <w:vAlign w:val="center"/>
          </w:tcPr>
          <w:p w:rsidR="00A636A0" w:rsidRPr="00A8397E" w:rsidRDefault="00A636A0" w:rsidP="0073608D">
            <w:pPr>
              <w:rPr>
                <w:sz w:val="23"/>
                <w:szCs w:val="23"/>
              </w:rPr>
            </w:pPr>
          </w:p>
        </w:tc>
        <w:tc>
          <w:tcPr>
            <w:tcW w:w="636" w:type="dxa"/>
            <w:tcBorders>
              <w:top w:val="nil"/>
            </w:tcBorders>
          </w:tcPr>
          <w:p w:rsidR="00A636A0" w:rsidRPr="00A8397E" w:rsidRDefault="00A636A0" w:rsidP="00A636A0">
            <w:pPr>
              <w:rPr>
                <w:sz w:val="2"/>
                <w:szCs w:val="2"/>
              </w:rPr>
            </w:pPr>
          </w:p>
        </w:tc>
        <w:tc>
          <w:tcPr>
            <w:tcW w:w="4416" w:type="dxa"/>
            <w:tcBorders>
              <w:top w:val="nil"/>
            </w:tcBorders>
          </w:tcPr>
          <w:p w:rsidR="00A636A0" w:rsidRPr="00A8397E" w:rsidRDefault="00A636A0" w:rsidP="00A636A0">
            <w:pPr>
              <w:ind w:right="-105"/>
              <w:jc w:val="left"/>
              <w:rPr>
                <w:sz w:val="2"/>
                <w:szCs w:val="2"/>
              </w:rPr>
            </w:pPr>
          </w:p>
        </w:tc>
      </w:tr>
      <w:tr w:rsidR="00A636A0" w:rsidRPr="00A8397E" w:rsidTr="0073608D">
        <w:trPr>
          <w:gridAfter w:val="1"/>
          <w:wAfter w:w="15" w:type="dxa"/>
        </w:trPr>
        <w:tc>
          <w:tcPr>
            <w:tcW w:w="456" w:type="dxa"/>
            <w:vMerge/>
            <w:vAlign w:val="center"/>
          </w:tcPr>
          <w:p w:rsidR="00A636A0" w:rsidRPr="00A8397E" w:rsidRDefault="00A636A0" w:rsidP="00A636A0">
            <w:pPr>
              <w:rPr>
                <w:sz w:val="23"/>
                <w:szCs w:val="23"/>
              </w:rPr>
            </w:pPr>
          </w:p>
        </w:tc>
        <w:tc>
          <w:tcPr>
            <w:tcW w:w="4364" w:type="dxa"/>
            <w:vMerge/>
            <w:vAlign w:val="center"/>
          </w:tcPr>
          <w:p w:rsidR="00A636A0" w:rsidRPr="00A8397E" w:rsidRDefault="00A636A0" w:rsidP="0073608D">
            <w:pPr>
              <w:rPr>
                <w:sz w:val="23"/>
                <w:szCs w:val="23"/>
              </w:rPr>
            </w:pPr>
          </w:p>
        </w:tc>
        <w:tc>
          <w:tcPr>
            <w:tcW w:w="636" w:type="dxa"/>
          </w:tcPr>
          <w:p w:rsidR="00A636A0" w:rsidRPr="00A8397E" w:rsidRDefault="00A636A0" w:rsidP="00A636A0">
            <w:pPr>
              <w:rPr>
                <w:sz w:val="23"/>
                <w:szCs w:val="23"/>
              </w:rPr>
            </w:pPr>
            <w:r w:rsidRPr="00A8397E">
              <w:rPr>
                <w:sz w:val="23"/>
                <w:szCs w:val="23"/>
              </w:rPr>
              <w:t>6.2</w:t>
            </w:r>
          </w:p>
        </w:tc>
        <w:tc>
          <w:tcPr>
            <w:tcW w:w="4416" w:type="dxa"/>
          </w:tcPr>
          <w:p w:rsidR="00A636A0" w:rsidRPr="00A8397E" w:rsidRDefault="00A636A0" w:rsidP="00A636A0">
            <w:pPr>
              <w:ind w:right="-105"/>
              <w:jc w:val="left"/>
              <w:rPr>
                <w:sz w:val="23"/>
                <w:szCs w:val="23"/>
              </w:rPr>
            </w:pPr>
            <w:r w:rsidRPr="00A8397E">
              <w:rPr>
                <w:sz w:val="23"/>
                <w:szCs w:val="23"/>
              </w:rPr>
              <w:t>Діяльність закладів, які надають послуги з розміщення, в яких проживають медичні працівники та особи в обсервації, а також інші особи відповідно до рішення Державної комісії з питань техногенно-екологічної безпеки та надзвичайних ситуацій.</w:t>
            </w:r>
          </w:p>
        </w:tc>
      </w:tr>
      <w:tr w:rsidR="00A636A0" w:rsidRPr="00A8397E" w:rsidTr="0073608D">
        <w:trPr>
          <w:gridAfter w:val="1"/>
          <w:wAfter w:w="15" w:type="dxa"/>
        </w:trPr>
        <w:tc>
          <w:tcPr>
            <w:tcW w:w="456" w:type="dxa"/>
            <w:vMerge/>
            <w:vAlign w:val="center"/>
          </w:tcPr>
          <w:p w:rsidR="00A636A0" w:rsidRPr="00A8397E" w:rsidRDefault="00A636A0" w:rsidP="00A636A0">
            <w:pPr>
              <w:rPr>
                <w:sz w:val="23"/>
                <w:szCs w:val="23"/>
              </w:rPr>
            </w:pPr>
          </w:p>
        </w:tc>
        <w:tc>
          <w:tcPr>
            <w:tcW w:w="4364" w:type="dxa"/>
            <w:vMerge/>
            <w:vAlign w:val="center"/>
          </w:tcPr>
          <w:p w:rsidR="00A636A0" w:rsidRPr="00A8397E" w:rsidRDefault="00A636A0" w:rsidP="0073608D">
            <w:pPr>
              <w:rPr>
                <w:sz w:val="23"/>
                <w:szCs w:val="23"/>
              </w:rPr>
            </w:pPr>
          </w:p>
        </w:tc>
        <w:tc>
          <w:tcPr>
            <w:tcW w:w="636" w:type="dxa"/>
          </w:tcPr>
          <w:p w:rsidR="00A636A0" w:rsidRPr="00A8397E" w:rsidRDefault="00A636A0" w:rsidP="00A636A0">
            <w:pPr>
              <w:rPr>
                <w:sz w:val="23"/>
                <w:szCs w:val="23"/>
              </w:rPr>
            </w:pPr>
            <w:r w:rsidRPr="00A8397E">
              <w:rPr>
                <w:sz w:val="23"/>
                <w:szCs w:val="23"/>
              </w:rPr>
              <w:t>6.3</w:t>
            </w:r>
          </w:p>
        </w:tc>
        <w:tc>
          <w:tcPr>
            <w:tcW w:w="4416" w:type="dxa"/>
          </w:tcPr>
          <w:p w:rsidR="00A636A0" w:rsidRPr="00A8397E" w:rsidRDefault="00A636A0" w:rsidP="00A636A0">
            <w:pPr>
              <w:ind w:right="-105"/>
              <w:jc w:val="left"/>
              <w:rPr>
                <w:sz w:val="23"/>
                <w:szCs w:val="23"/>
              </w:rPr>
            </w:pPr>
            <w:r w:rsidRPr="00A8397E">
              <w:rPr>
                <w:sz w:val="23"/>
                <w:szCs w:val="23"/>
              </w:rPr>
              <w:t>Діяльність музеїв, музеїв просто неба та історико-культурних заповідників відповідно до подання керівника закладу культури та за рішенням власника (органу управління) без безпосереднього прийому відвідувачів та за умови забезпечення персоналу респіраторами або захисними масками, у тому числі виготовленими самостійно. За рішенням власника (органу управління) дозволяється прийом відвідувачів за умови забезпечення персоналу засобами індивідуального захисту (захист обличчя, очей, рук) та використання відвідувачами респіраторів без клапанів видиху або захисних масок, у тому числі виготовлених самостійно.</w:t>
            </w:r>
          </w:p>
        </w:tc>
      </w:tr>
      <w:tr w:rsidR="00A636A0" w:rsidRPr="00A8397E" w:rsidTr="0073608D">
        <w:trPr>
          <w:gridAfter w:val="1"/>
          <w:wAfter w:w="15" w:type="dxa"/>
        </w:trPr>
        <w:tc>
          <w:tcPr>
            <w:tcW w:w="456" w:type="dxa"/>
            <w:vMerge/>
            <w:vAlign w:val="center"/>
          </w:tcPr>
          <w:p w:rsidR="00A636A0" w:rsidRPr="00A8397E" w:rsidRDefault="00A636A0" w:rsidP="00A636A0">
            <w:pPr>
              <w:rPr>
                <w:sz w:val="23"/>
                <w:szCs w:val="23"/>
              </w:rPr>
            </w:pPr>
          </w:p>
        </w:tc>
        <w:tc>
          <w:tcPr>
            <w:tcW w:w="4364" w:type="dxa"/>
            <w:vMerge/>
            <w:vAlign w:val="center"/>
          </w:tcPr>
          <w:p w:rsidR="00A636A0" w:rsidRPr="00A8397E" w:rsidRDefault="00A636A0" w:rsidP="0073608D">
            <w:pPr>
              <w:rPr>
                <w:sz w:val="23"/>
                <w:szCs w:val="23"/>
              </w:rPr>
            </w:pPr>
          </w:p>
        </w:tc>
        <w:tc>
          <w:tcPr>
            <w:tcW w:w="636" w:type="dxa"/>
          </w:tcPr>
          <w:p w:rsidR="00A636A0" w:rsidRPr="00A8397E" w:rsidRDefault="00A636A0" w:rsidP="00A636A0">
            <w:pPr>
              <w:rPr>
                <w:sz w:val="23"/>
                <w:szCs w:val="23"/>
              </w:rPr>
            </w:pPr>
            <w:r w:rsidRPr="00A8397E">
              <w:rPr>
                <w:sz w:val="23"/>
                <w:szCs w:val="23"/>
              </w:rPr>
              <w:t>6.4</w:t>
            </w:r>
          </w:p>
        </w:tc>
        <w:tc>
          <w:tcPr>
            <w:tcW w:w="4416" w:type="dxa"/>
          </w:tcPr>
          <w:p w:rsidR="00A636A0" w:rsidRPr="00A8397E" w:rsidRDefault="00A636A0" w:rsidP="00A636A0">
            <w:pPr>
              <w:ind w:right="-105"/>
              <w:jc w:val="left"/>
              <w:rPr>
                <w:sz w:val="23"/>
                <w:szCs w:val="23"/>
              </w:rPr>
            </w:pPr>
            <w:r w:rsidRPr="00A8397E">
              <w:rPr>
                <w:sz w:val="23"/>
                <w:szCs w:val="23"/>
              </w:rPr>
              <w:t>Робота суб’єктів господарювання, пов’язаної з виробництвом аудіовізуальних творів, зокрема здійснення кіно- та відеозйомки на відкритому повітрі, у транспортних засобах, житлових будинках, спорудах, приміщеннях (у тому числі приміщеннях, призначених для зйомки аудіовізуальних творів (студії, павільйони), за умови обмеження кількості осіб, які здійснюють кіно- та відеозйомку в одному місці, не більше 50 осіб, обмеження доступу до місця зйомки (знімального майданчика) сторонніх осіб та використання персоналом, залученим до виробництва аудіовізуального твору, респіраторів або захисних масок, у тому числі виготовлених самостійно.</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6.5</w:t>
            </w:r>
          </w:p>
        </w:tc>
        <w:tc>
          <w:tcPr>
            <w:tcW w:w="4416" w:type="dxa"/>
          </w:tcPr>
          <w:p w:rsidR="00A636A0" w:rsidRPr="00A8397E" w:rsidRDefault="00A636A0" w:rsidP="00A636A0">
            <w:pPr>
              <w:ind w:right="-105"/>
              <w:jc w:val="left"/>
              <w:rPr>
                <w:sz w:val="23"/>
                <w:szCs w:val="23"/>
              </w:rPr>
            </w:pPr>
            <w:r w:rsidRPr="00A8397E">
              <w:rPr>
                <w:sz w:val="23"/>
                <w:szCs w:val="23"/>
              </w:rPr>
              <w:t xml:space="preserve">Проведення у театрах, цирках, концертних організаціях, художніх (мистецьких) колективах за рішенням органів управління репетицій, тренувань та інших заходів, які не </w:t>
            </w:r>
            <w:r w:rsidRPr="00A8397E">
              <w:rPr>
                <w:sz w:val="23"/>
                <w:szCs w:val="23"/>
              </w:rPr>
              <w:lastRenderedPageBreak/>
              <w:t>передбачають одночасного зібрання великої кількості осіб (до 50 осіб), без глядачів за умови використання учасниками засобів індивідуального захисту, зокрема респіраторів або захисних масок, у тому числі виготовлених самостійно.</w:t>
            </w:r>
          </w:p>
        </w:tc>
      </w:tr>
      <w:tr w:rsidR="00A636A0" w:rsidRPr="00A8397E" w:rsidTr="0073608D">
        <w:trPr>
          <w:gridAfter w:val="1"/>
          <w:wAfter w:w="15" w:type="dxa"/>
        </w:trPr>
        <w:tc>
          <w:tcPr>
            <w:tcW w:w="456" w:type="dxa"/>
          </w:tcPr>
          <w:p w:rsidR="00A636A0" w:rsidRPr="00A8397E" w:rsidRDefault="00A636A0" w:rsidP="00A636A0">
            <w:pPr>
              <w:rPr>
                <w:sz w:val="23"/>
                <w:szCs w:val="23"/>
              </w:rPr>
            </w:pPr>
            <w:r w:rsidRPr="00A8397E">
              <w:rPr>
                <w:sz w:val="23"/>
                <w:szCs w:val="23"/>
              </w:rPr>
              <w:lastRenderedPageBreak/>
              <w:t>7</w:t>
            </w:r>
          </w:p>
        </w:tc>
        <w:tc>
          <w:tcPr>
            <w:tcW w:w="4364" w:type="dxa"/>
          </w:tcPr>
          <w:p w:rsidR="00A636A0" w:rsidRPr="00A8397E" w:rsidRDefault="00A636A0" w:rsidP="0073608D">
            <w:pPr>
              <w:jc w:val="left"/>
              <w:rPr>
                <w:sz w:val="23"/>
                <w:szCs w:val="23"/>
              </w:rPr>
            </w:pPr>
            <w:r w:rsidRPr="00A8397E">
              <w:rPr>
                <w:sz w:val="23"/>
                <w:szCs w:val="23"/>
              </w:rPr>
              <w:t>Постачальникам електричної енергії, операторам систем розподілу електричної енергії здійснювати відключення та обмеження нижче технологічного мінімуму споживання електричної енергії підприємств централізованого водопостачання та водовідведення незалежно від форми власності, вугледобувних підприємств.</w:t>
            </w:r>
          </w:p>
        </w:tc>
        <w:tc>
          <w:tcPr>
            <w:tcW w:w="636" w:type="dxa"/>
          </w:tcPr>
          <w:p w:rsidR="00A636A0" w:rsidRPr="00A8397E" w:rsidRDefault="00A636A0" w:rsidP="00A636A0">
            <w:pPr>
              <w:jc w:val="left"/>
              <w:rPr>
                <w:sz w:val="23"/>
                <w:szCs w:val="23"/>
              </w:rPr>
            </w:pPr>
          </w:p>
        </w:tc>
        <w:tc>
          <w:tcPr>
            <w:tcW w:w="4416" w:type="dxa"/>
            <w:vMerge w:val="restart"/>
          </w:tcPr>
          <w:p w:rsidR="00A636A0" w:rsidRPr="00A8397E" w:rsidRDefault="00A636A0" w:rsidP="00A636A0">
            <w:pPr>
              <w:ind w:right="-105"/>
              <w:jc w:val="left"/>
              <w:rPr>
                <w:sz w:val="23"/>
                <w:szCs w:val="23"/>
              </w:rPr>
            </w:pPr>
          </w:p>
        </w:tc>
      </w:tr>
      <w:tr w:rsidR="00A636A0" w:rsidRPr="00A8397E" w:rsidTr="0073608D">
        <w:trPr>
          <w:gridAfter w:val="1"/>
          <w:wAfter w:w="15" w:type="dxa"/>
        </w:trPr>
        <w:tc>
          <w:tcPr>
            <w:tcW w:w="456" w:type="dxa"/>
          </w:tcPr>
          <w:p w:rsidR="00A636A0" w:rsidRPr="00A8397E" w:rsidRDefault="00A636A0" w:rsidP="00A636A0">
            <w:pPr>
              <w:rPr>
                <w:sz w:val="23"/>
                <w:szCs w:val="23"/>
              </w:rPr>
            </w:pPr>
            <w:r w:rsidRPr="00A8397E">
              <w:rPr>
                <w:sz w:val="23"/>
                <w:szCs w:val="23"/>
              </w:rPr>
              <w:t>8</w:t>
            </w:r>
          </w:p>
        </w:tc>
        <w:tc>
          <w:tcPr>
            <w:tcW w:w="4364" w:type="dxa"/>
          </w:tcPr>
          <w:p w:rsidR="00A636A0" w:rsidRPr="00A8397E" w:rsidRDefault="00A636A0" w:rsidP="0073608D">
            <w:pPr>
              <w:jc w:val="left"/>
              <w:rPr>
                <w:sz w:val="23"/>
                <w:szCs w:val="23"/>
              </w:rPr>
            </w:pPr>
            <w:r w:rsidRPr="00A8397E">
              <w:rPr>
                <w:sz w:val="23"/>
                <w:szCs w:val="23"/>
              </w:rPr>
              <w:t>Постачальникам природного газу здійснювати припинення постачання природного газу виробникам теплової та електричної енергії (припинення забезпечення споживача необхідними підтвердженими обсягами природного газу, неподання оператору газотранспортної системи номінацій/реномінацій на транспортування природного газу для задоволення потреб споживачів, зменшення періоду постачання в інформаційній платформі оператора газотранспортної системи та/або надсилання доручень на припинення (обмеження) транспортування/розподілу природного газу для споживачів або припинення газопостачання) незалежно від форми власності, установивши, що на період встановлення карантину акціонерне товариство “Національна акціонерна компанія “Нафтогаз України” зобов’язане на умовах та у порядку, передбачених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затвердженим постановою Кабінету Міністрів України від 19 жовтня 2018 р. № 867:</w:t>
            </w:r>
          </w:p>
          <w:p w:rsidR="00A636A0" w:rsidRPr="00A8397E" w:rsidRDefault="00A636A0" w:rsidP="0073608D">
            <w:pPr>
              <w:jc w:val="left"/>
              <w:rPr>
                <w:sz w:val="23"/>
                <w:szCs w:val="23"/>
              </w:rPr>
            </w:pPr>
            <w:r w:rsidRPr="00A8397E">
              <w:rPr>
                <w:sz w:val="23"/>
                <w:szCs w:val="23"/>
              </w:rPr>
              <w:t>- укласти договір постачання природного газу з виробником теплової та електричної енергії незалежно від форми власності, який звернувся з пропозицією укладення договору постачання природного газу, з дотриманням вимог законодавства;</w:t>
            </w:r>
          </w:p>
          <w:p w:rsidR="00A636A0" w:rsidRPr="00A8397E" w:rsidRDefault="00A636A0" w:rsidP="0073608D">
            <w:pPr>
              <w:jc w:val="left"/>
              <w:rPr>
                <w:sz w:val="23"/>
                <w:szCs w:val="23"/>
              </w:rPr>
            </w:pPr>
            <w:r w:rsidRPr="00A8397E">
              <w:rPr>
                <w:sz w:val="23"/>
                <w:szCs w:val="23"/>
              </w:rPr>
              <w:t>- здійснювати постачання природного газу виробникам теплової та електричної енергії незалежно від стану виконання умов щодо розрахунків, передбачених пунктом 11 зазначеного Положення, за умови наявності укладених належним чином договорів постачання природного газу з такими виробниками теплової та електричної енергії;</w:t>
            </w:r>
          </w:p>
          <w:p w:rsidR="00A636A0" w:rsidRPr="00A8397E" w:rsidRDefault="00A636A0" w:rsidP="0073608D">
            <w:pPr>
              <w:jc w:val="left"/>
              <w:rPr>
                <w:sz w:val="23"/>
                <w:szCs w:val="23"/>
              </w:rPr>
            </w:pPr>
            <w:r w:rsidRPr="00A8397E">
              <w:rPr>
                <w:sz w:val="23"/>
                <w:szCs w:val="23"/>
              </w:rPr>
              <w:lastRenderedPageBreak/>
              <w:t>- включити в реєстр споживачів Компанії на інформаційній платформі оператора газотранспортної системи виробників теплової та електричної енергії, з якими укладені належним чином договори постачання природного газу.</w:t>
            </w:r>
          </w:p>
        </w:tc>
        <w:tc>
          <w:tcPr>
            <w:tcW w:w="636" w:type="dxa"/>
          </w:tcPr>
          <w:p w:rsidR="00A636A0" w:rsidRPr="00A8397E" w:rsidRDefault="00A636A0" w:rsidP="00A636A0">
            <w:pPr>
              <w:jc w:val="left"/>
              <w:rPr>
                <w:sz w:val="23"/>
                <w:szCs w:val="23"/>
              </w:rPr>
            </w:pPr>
          </w:p>
        </w:tc>
        <w:tc>
          <w:tcPr>
            <w:tcW w:w="4416" w:type="dxa"/>
            <w:vMerge/>
          </w:tcPr>
          <w:p w:rsidR="00A636A0" w:rsidRPr="00A8397E" w:rsidRDefault="00A636A0" w:rsidP="00A636A0">
            <w:pPr>
              <w:ind w:right="-105"/>
              <w:jc w:val="left"/>
              <w:rPr>
                <w:sz w:val="23"/>
                <w:szCs w:val="23"/>
              </w:rPr>
            </w:pPr>
          </w:p>
        </w:tc>
      </w:tr>
      <w:tr w:rsidR="00A636A0" w:rsidRPr="00A8397E" w:rsidTr="0073608D">
        <w:trPr>
          <w:gridAfter w:val="1"/>
          <w:wAfter w:w="15" w:type="dxa"/>
        </w:trPr>
        <w:tc>
          <w:tcPr>
            <w:tcW w:w="456" w:type="dxa"/>
          </w:tcPr>
          <w:p w:rsidR="00A636A0" w:rsidRPr="00A8397E" w:rsidRDefault="00A636A0" w:rsidP="00A636A0">
            <w:pPr>
              <w:rPr>
                <w:sz w:val="23"/>
                <w:szCs w:val="23"/>
              </w:rPr>
            </w:pPr>
            <w:r w:rsidRPr="00A8397E">
              <w:rPr>
                <w:sz w:val="23"/>
                <w:szCs w:val="23"/>
              </w:rPr>
              <w:t>9</w:t>
            </w:r>
          </w:p>
        </w:tc>
        <w:tc>
          <w:tcPr>
            <w:tcW w:w="4364" w:type="dxa"/>
          </w:tcPr>
          <w:p w:rsidR="00A636A0" w:rsidRPr="00A8397E" w:rsidRDefault="00A636A0" w:rsidP="0073608D">
            <w:pPr>
              <w:jc w:val="left"/>
              <w:rPr>
                <w:sz w:val="23"/>
                <w:szCs w:val="23"/>
              </w:rPr>
            </w:pPr>
            <w:r w:rsidRPr="00A8397E">
              <w:rPr>
                <w:sz w:val="23"/>
                <w:szCs w:val="23"/>
              </w:rPr>
              <w:t>Відвідування установ і закладів, що надають паліативну допомогу, соціального захисту, в яких тимчасово або постійно проживають/ перебувають діти, громадяни похилого віку, ветерани війни і праці, особи з інвалідністю, особи із стійкими інтелектуальними або психічними порушеннями, установ і закладів, що надають соціальні послуги сім’ям/особам у складних життєвих обставинах</w:t>
            </w:r>
            <w:r w:rsidR="002555B7" w:rsidRPr="00A8397E">
              <w:rPr>
                <w:sz w:val="23"/>
                <w:szCs w:val="23"/>
              </w:rPr>
              <w:t xml:space="preserve"> (крім пункту 9.1)</w:t>
            </w:r>
            <w:r w:rsidRPr="00A8397E">
              <w:rPr>
                <w:sz w:val="23"/>
                <w:szCs w:val="23"/>
              </w:rPr>
              <w:t>.</w:t>
            </w:r>
          </w:p>
        </w:tc>
        <w:tc>
          <w:tcPr>
            <w:tcW w:w="636" w:type="dxa"/>
          </w:tcPr>
          <w:p w:rsidR="00A636A0" w:rsidRPr="00A8397E" w:rsidRDefault="00A636A0" w:rsidP="00A636A0">
            <w:pPr>
              <w:rPr>
                <w:sz w:val="23"/>
                <w:szCs w:val="23"/>
              </w:rPr>
            </w:pPr>
            <w:r w:rsidRPr="00A8397E">
              <w:rPr>
                <w:sz w:val="23"/>
                <w:szCs w:val="23"/>
              </w:rPr>
              <w:t>9.1</w:t>
            </w:r>
          </w:p>
        </w:tc>
        <w:tc>
          <w:tcPr>
            <w:tcW w:w="4416" w:type="dxa"/>
          </w:tcPr>
          <w:p w:rsidR="00A636A0" w:rsidRPr="00A8397E" w:rsidRDefault="00A636A0" w:rsidP="00A636A0">
            <w:pPr>
              <w:ind w:right="-105"/>
              <w:jc w:val="left"/>
              <w:rPr>
                <w:sz w:val="23"/>
                <w:szCs w:val="23"/>
              </w:rPr>
            </w:pPr>
            <w:r w:rsidRPr="00A8397E">
              <w:rPr>
                <w:sz w:val="23"/>
                <w:szCs w:val="23"/>
              </w:rPr>
              <w:t>Відвідування установ і закладів, що надають соціальні послуги сім’ям/особам у складних життєвих обставинах екстрено (кризово).</w:t>
            </w:r>
          </w:p>
        </w:tc>
      </w:tr>
      <w:tr w:rsidR="00A636A0" w:rsidRPr="00A8397E" w:rsidTr="0073608D">
        <w:trPr>
          <w:gridAfter w:val="1"/>
          <w:wAfter w:w="15" w:type="dxa"/>
        </w:trPr>
        <w:tc>
          <w:tcPr>
            <w:tcW w:w="456" w:type="dxa"/>
          </w:tcPr>
          <w:p w:rsidR="00A636A0" w:rsidRPr="00A8397E" w:rsidRDefault="00A636A0" w:rsidP="00A636A0">
            <w:pPr>
              <w:rPr>
                <w:sz w:val="23"/>
                <w:szCs w:val="23"/>
              </w:rPr>
            </w:pPr>
            <w:r w:rsidRPr="00A8397E">
              <w:rPr>
                <w:sz w:val="23"/>
                <w:szCs w:val="23"/>
              </w:rPr>
              <w:t>10</w:t>
            </w:r>
          </w:p>
        </w:tc>
        <w:tc>
          <w:tcPr>
            <w:tcW w:w="4364" w:type="dxa"/>
          </w:tcPr>
          <w:p w:rsidR="00A636A0" w:rsidRPr="00A8397E" w:rsidRDefault="00A636A0" w:rsidP="0073608D">
            <w:pPr>
              <w:jc w:val="left"/>
              <w:rPr>
                <w:sz w:val="23"/>
                <w:szCs w:val="23"/>
              </w:rPr>
            </w:pPr>
            <w:r w:rsidRPr="00A8397E">
              <w:rPr>
                <w:sz w:val="23"/>
                <w:szCs w:val="23"/>
              </w:rPr>
              <w:t>Відвідування пунктів тимчасового перебування іноземців та осіб без громадянства, які незаконно перебувають в Україні, та пунктів тимчасового розміщення біженців</w:t>
            </w:r>
            <w:r w:rsidR="002555B7" w:rsidRPr="00A8397E">
              <w:rPr>
                <w:sz w:val="23"/>
                <w:szCs w:val="23"/>
              </w:rPr>
              <w:t xml:space="preserve"> (крім пункту 10.1)</w:t>
            </w:r>
            <w:r w:rsidRPr="00A8397E">
              <w:rPr>
                <w:sz w:val="23"/>
                <w:szCs w:val="23"/>
              </w:rPr>
              <w:t>.</w:t>
            </w:r>
          </w:p>
        </w:tc>
        <w:tc>
          <w:tcPr>
            <w:tcW w:w="636" w:type="dxa"/>
          </w:tcPr>
          <w:p w:rsidR="00A636A0" w:rsidRPr="00A8397E" w:rsidRDefault="00A636A0" w:rsidP="00A636A0">
            <w:pPr>
              <w:rPr>
                <w:sz w:val="23"/>
                <w:szCs w:val="23"/>
              </w:rPr>
            </w:pPr>
            <w:r w:rsidRPr="00A8397E">
              <w:rPr>
                <w:sz w:val="23"/>
                <w:szCs w:val="23"/>
              </w:rPr>
              <w:t>10.1</w:t>
            </w:r>
          </w:p>
        </w:tc>
        <w:tc>
          <w:tcPr>
            <w:tcW w:w="4416" w:type="dxa"/>
          </w:tcPr>
          <w:p w:rsidR="00A636A0" w:rsidRPr="00A8397E" w:rsidRDefault="00A636A0" w:rsidP="00A636A0">
            <w:pPr>
              <w:ind w:right="-105"/>
              <w:jc w:val="left"/>
              <w:rPr>
                <w:sz w:val="23"/>
                <w:szCs w:val="23"/>
              </w:rPr>
            </w:pPr>
            <w:r w:rsidRPr="00A8397E">
              <w:rPr>
                <w:sz w:val="23"/>
                <w:szCs w:val="23"/>
              </w:rPr>
              <w:t>Відвідування пунктів тимчасового перебування іноземців та осіб без громадянства, які незаконно перебувають в Україні, та пунктів тимчасового розміщення біженців особами, які надають правову допомогу особам, які перебувають в таких пунктах.</w:t>
            </w:r>
          </w:p>
        </w:tc>
      </w:tr>
      <w:tr w:rsidR="00A636A0" w:rsidRPr="00A8397E" w:rsidTr="0073608D">
        <w:trPr>
          <w:gridAfter w:val="1"/>
          <w:wAfter w:w="15" w:type="dxa"/>
        </w:trPr>
        <w:tc>
          <w:tcPr>
            <w:tcW w:w="456" w:type="dxa"/>
            <w:vMerge w:val="restart"/>
          </w:tcPr>
          <w:p w:rsidR="00A636A0" w:rsidRPr="00A8397E" w:rsidRDefault="00A636A0" w:rsidP="00A636A0">
            <w:pPr>
              <w:rPr>
                <w:sz w:val="23"/>
                <w:szCs w:val="23"/>
              </w:rPr>
            </w:pPr>
            <w:r w:rsidRPr="00A8397E">
              <w:rPr>
                <w:sz w:val="23"/>
                <w:szCs w:val="23"/>
              </w:rPr>
              <w:t>11</w:t>
            </w:r>
          </w:p>
        </w:tc>
        <w:tc>
          <w:tcPr>
            <w:tcW w:w="4364" w:type="dxa"/>
            <w:vMerge w:val="restart"/>
          </w:tcPr>
          <w:p w:rsidR="00A636A0" w:rsidRPr="00A8397E" w:rsidRDefault="00A636A0" w:rsidP="0073608D">
            <w:pPr>
              <w:jc w:val="left"/>
              <w:rPr>
                <w:sz w:val="23"/>
                <w:szCs w:val="23"/>
              </w:rPr>
            </w:pPr>
            <w:r w:rsidRPr="00A8397E">
              <w:rPr>
                <w:sz w:val="23"/>
                <w:szCs w:val="23"/>
              </w:rPr>
              <w:t>Закладам охорони здоров’я проведення планових заходів з госпіталізації</w:t>
            </w:r>
            <w:r w:rsidR="002555B7" w:rsidRPr="00A8397E">
              <w:rPr>
                <w:sz w:val="23"/>
                <w:szCs w:val="23"/>
              </w:rPr>
              <w:t xml:space="preserve"> (крім пункт</w:t>
            </w:r>
            <w:r w:rsidR="00A8397E" w:rsidRPr="00A8397E">
              <w:rPr>
                <w:sz w:val="23"/>
                <w:szCs w:val="23"/>
              </w:rPr>
              <w:t>ів</w:t>
            </w:r>
            <w:r w:rsidR="002555B7" w:rsidRPr="00A8397E">
              <w:rPr>
                <w:sz w:val="23"/>
                <w:szCs w:val="23"/>
              </w:rPr>
              <w:t> 11.1</w:t>
            </w:r>
            <w:r w:rsidR="00A8397E" w:rsidRPr="00A8397E">
              <w:rPr>
                <w:sz w:val="23"/>
                <w:szCs w:val="23"/>
              </w:rPr>
              <w:t xml:space="preserve"> – 11.6</w:t>
            </w:r>
            <w:r w:rsidR="002555B7" w:rsidRPr="00A8397E">
              <w:rPr>
                <w:sz w:val="23"/>
                <w:szCs w:val="23"/>
              </w:rPr>
              <w:t>)</w:t>
            </w:r>
            <w:r w:rsidRPr="00A8397E">
              <w:rPr>
                <w:sz w:val="23"/>
                <w:szCs w:val="23"/>
              </w:rPr>
              <w:t>.</w:t>
            </w:r>
          </w:p>
        </w:tc>
        <w:tc>
          <w:tcPr>
            <w:tcW w:w="636" w:type="dxa"/>
          </w:tcPr>
          <w:p w:rsidR="00A636A0" w:rsidRPr="00A8397E" w:rsidRDefault="00A636A0" w:rsidP="00A636A0">
            <w:pPr>
              <w:rPr>
                <w:sz w:val="23"/>
                <w:szCs w:val="23"/>
              </w:rPr>
            </w:pPr>
            <w:r w:rsidRPr="00A8397E">
              <w:rPr>
                <w:sz w:val="23"/>
                <w:szCs w:val="23"/>
              </w:rPr>
              <w:t>11.1</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проведення планової госпіталізації в регіонах, в яких заповненість ліжок у закладах охорони здоров’я, визначених для госпіталізації пацієнтів з підтвердженим випадком COVID-19, становить менш як 50 відсотків. Дозвіл на проведення планової госпіталізації в регіоні встановлюється рішенням регіональної комісії з питань техногенно-екологічної безпеки та надзвичайних ситуацій, яке розміщується на офіційному веб-сайті Кабінету Міністрів України.</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11.2</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надання медичної допомоги внаслідок ускладненого перебігу вагітності та пологів.</w:t>
            </w:r>
          </w:p>
        </w:tc>
      </w:tr>
      <w:tr w:rsidR="00A636A0" w:rsidRPr="00A8397E" w:rsidTr="0073608D">
        <w:trPr>
          <w:gridAfter w:val="1"/>
          <w:wAfter w:w="15" w:type="dxa"/>
        </w:trPr>
        <w:tc>
          <w:tcPr>
            <w:tcW w:w="456" w:type="dxa"/>
            <w:vMerge/>
          </w:tcPr>
          <w:p w:rsidR="00A636A0" w:rsidRPr="00A8397E" w:rsidRDefault="00A636A0" w:rsidP="00A636A0">
            <w:pPr>
              <w:jc w:val="both"/>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11.3</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надання медичної допомоги вагітним, роділлям, породіллям, новонародженим</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11.4</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надання медичної допомоги у спеціалізованих відділеннях закладів охорони здоров’я пацієнтам з онкологічними захворюваннями.</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11.5</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надання паліативної медичної допомоги у стаціонарних умовах.</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11.6</w:t>
            </w:r>
          </w:p>
        </w:tc>
        <w:tc>
          <w:tcPr>
            <w:tcW w:w="4416" w:type="dxa"/>
          </w:tcPr>
          <w:p w:rsidR="00A636A0" w:rsidRPr="00A8397E" w:rsidRDefault="00A636A0" w:rsidP="00A636A0">
            <w:pPr>
              <w:ind w:right="-105"/>
              <w:jc w:val="left"/>
              <w:rPr>
                <w:sz w:val="23"/>
                <w:szCs w:val="23"/>
              </w:rPr>
            </w:pPr>
            <w:r w:rsidRPr="00A8397E">
              <w:rPr>
                <w:sz w:val="23"/>
                <w:szCs w:val="23"/>
              </w:rPr>
              <w:t>Закладам охорони здоров’я проведення інших невідкладних і термінових заходів з госпіталізації, якщо внаслідок їх перенесення (відтермінування) існує значний ризик для життя або здоров’я.</w:t>
            </w:r>
          </w:p>
        </w:tc>
      </w:tr>
      <w:tr w:rsidR="00A636A0" w:rsidRPr="00A8397E" w:rsidTr="0073608D">
        <w:trPr>
          <w:gridAfter w:val="1"/>
          <w:wAfter w:w="15" w:type="dxa"/>
        </w:trPr>
        <w:tc>
          <w:tcPr>
            <w:tcW w:w="456" w:type="dxa"/>
            <w:vMerge w:val="restart"/>
          </w:tcPr>
          <w:p w:rsidR="00A636A0" w:rsidRPr="00A8397E" w:rsidRDefault="00A636A0" w:rsidP="00A636A0">
            <w:pPr>
              <w:rPr>
                <w:sz w:val="23"/>
                <w:szCs w:val="23"/>
              </w:rPr>
            </w:pPr>
            <w:r w:rsidRPr="00A8397E">
              <w:rPr>
                <w:sz w:val="23"/>
                <w:szCs w:val="23"/>
              </w:rPr>
              <w:t>12</w:t>
            </w:r>
          </w:p>
        </w:tc>
        <w:tc>
          <w:tcPr>
            <w:tcW w:w="4364" w:type="dxa"/>
            <w:vMerge w:val="restart"/>
          </w:tcPr>
          <w:p w:rsidR="00A636A0" w:rsidRDefault="00A636A0" w:rsidP="0073608D">
            <w:pPr>
              <w:ind w:left="-2"/>
              <w:jc w:val="both"/>
              <w:rPr>
                <w:bCs/>
                <w:sz w:val="23"/>
                <w:szCs w:val="23"/>
              </w:rPr>
            </w:pPr>
            <w:r w:rsidRPr="00A8397E">
              <w:rPr>
                <w:bCs/>
                <w:sz w:val="23"/>
                <w:szCs w:val="23"/>
              </w:rPr>
              <w:t xml:space="preserve">Міжобласні пасажирські перевезення автомобільним транспортом між регіонами </w:t>
            </w:r>
            <w:r w:rsidRPr="00A8397E">
              <w:rPr>
                <w:bCs/>
                <w:sz w:val="23"/>
                <w:szCs w:val="23"/>
              </w:rPr>
              <w:lastRenderedPageBreak/>
              <w:t>в межах кількості місць для сидіння, передбаченої технічною характеристикою транспортного засобу або визначеної в реєстраційних документах на цей транспортний засіб. У разі здійснення перевезення до регіону, в якому не застосовується послаблення протиепідемічних заходів, дозволяється перевезення в межах 50 відсотків кількості місць для сидіння, передбаченої технічною характеристикою транспортного засобу або визначеної в реєстраційних документах на цей транспортний засіб, за умови розсадки пасажирів з вільним місцем поруч, спереду, позаду.</w:t>
            </w:r>
          </w:p>
          <w:p w:rsidR="0073608D" w:rsidRDefault="0073608D" w:rsidP="0073608D">
            <w:pPr>
              <w:ind w:left="-2"/>
              <w:jc w:val="both"/>
              <w:rPr>
                <w:bCs/>
                <w:sz w:val="23"/>
                <w:szCs w:val="23"/>
              </w:rPr>
            </w:pPr>
          </w:p>
          <w:p w:rsidR="0073608D" w:rsidRPr="00A8397E" w:rsidRDefault="0073608D" w:rsidP="0073608D">
            <w:pPr>
              <w:ind w:left="-2"/>
              <w:jc w:val="both"/>
              <w:rPr>
                <w:sz w:val="23"/>
                <w:szCs w:val="23"/>
              </w:rPr>
            </w:pPr>
            <w:r w:rsidRPr="0073608D">
              <w:rPr>
                <w:sz w:val="23"/>
                <w:szCs w:val="23"/>
              </w:rPr>
              <w:t>Регулярні та нерегулярні пасажирські перевезення автомобільним транспортом у</w:t>
            </w:r>
            <w:r>
              <w:rPr>
                <w:sz w:val="23"/>
                <w:szCs w:val="23"/>
              </w:rPr>
              <w:t xml:space="preserve"> міжнародному</w:t>
            </w:r>
            <w:r w:rsidRPr="0073608D">
              <w:rPr>
                <w:sz w:val="23"/>
                <w:szCs w:val="23"/>
              </w:rPr>
              <w:t xml:space="preserve"> сполученні</w:t>
            </w:r>
          </w:p>
        </w:tc>
        <w:tc>
          <w:tcPr>
            <w:tcW w:w="636" w:type="dxa"/>
          </w:tcPr>
          <w:p w:rsidR="00A636A0" w:rsidRPr="00A8397E" w:rsidRDefault="00A636A0" w:rsidP="00A636A0">
            <w:pPr>
              <w:rPr>
                <w:sz w:val="23"/>
                <w:szCs w:val="23"/>
              </w:rPr>
            </w:pPr>
            <w:r w:rsidRPr="00A8397E">
              <w:rPr>
                <w:sz w:val="23"/>
                <w:szCs w:val="23"/>
              </w:rPr>
              <w:lastRenderedPageBreak/>
              <w:t>12.1</w:t>
            </w:r>
          </w:p>
        </w:tc>
        <w:tc>
          <w:tcPr>
            <w:tcW w:w="4416" w:type="dxa"/>
          </w:tcPr>
          <w:p w:rsidR="00A636A0" w:rsidRPr="00A8397E" w:rsidRDefault="00A636A0" w:rsidP="00472A69">
            <w:pPr>
              <w:ind w:right="-105"/>
              <w:jc w:val="left"/>
              <w:rPr>
                <w:sz w:val="23"/>
                <w:szCs w:val="23"/>
              </w:rPr>
            </w:pPr>
            <w:r w:rsidRPr="00A8397E">
              <w:rPr>
                <w:sz w:val="23"/>
                <w:szCs w:val="23"/>
              </w:rPr>
              <w:t>Регулярні та нерегулярні пасажирські перевезення автомобільним транспортом у міському, приміському, міжміському внутрі</w:t>
            </w:r>
            <w:r w:rsidRPr="00A8397E">
              <w:rPr>
                <w:sz w:val="23"/>
                <w:szCs w:val="23"/>
              </w:rPr>
              <w:lastRenderedPageBreak/>
              <w:t>шньообласному сполученні за умови перевезення пасажирів у межах кількості місць для сидіння, передбаченої технічною характеристикою транспортного засобу або визначеної в реєстраційних документах на цей транспортний засіб (крім міст Ковеля, Володимира-Волинського та Ковельського, Володимир-Волинського, Ківерцівського, Ратнівського районів).</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12.2</w:t>
            </w:r>
          </w:p>
        </w:tc>
        <w:tc>
          <w:tcPr>
            <w:tcW w:w="4416" w:type="dxa"/>
          </w:tcPr>
          <w:p w:rsidR="00A636A0" w:rsidRPr="00A8397E" w:rsidRDefault="00A636A0" w:rsidP="00A636A0">
            <w:pPr>
              <w:ind w:right="-105"/>
              <w:jc w:val="left"/>
              <w:rPr>
                <w:sz w:val="23"/>
                <w:szCs w:val="23"/>
              </w:rPr>
            </w:pPr>
            <w:r w:rsidRPr="00A8397E">
              <w:rPr>
                <w:sz w:val="23"/>
                <w:szCs w:val="23"/>
              </w:rPr>
              <w:t>Перевезення легковими автомобілями з кількістю пасажирів, включаючи водія, до п’яти осіб без урахування осіб віком до 14 років або більшою кількістю пасажирів за умови, що вони є членами однієї сім’ї.</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12.3</w:t>
            </w:r>
          </w:p>
        </w:tc>
        <w:tc>
          <w:tcPr>
            <w:tcW w:w="4416" w:type="dxa"/>
          </w:tcPr>
          <w:p w:rsidR="00A636A0" w:rsidRPr="00A8397E" w:rsidRDefault="00A636A0" w:rsidP="00A636A0">
            <w:pPr>
              <w:ind w:right="-105"/>
              <w:jc w:val="left"/>
              <w:rPr>
                <w:sz w:val="23"/>
                <w:szCs w:val="23"/>
              </w:rPr>
            </w:pPr>
            <w:r w:rsidRPr="00A8397E">
              <w:rPr>
                <w:sz w:val="23"/>
                <w:szCs w:val="23"/>
              </w:rPr>
              <w:t>Перевезення службовими та/або орендованими автомобільними транспортними засобами працівників підприємств,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водозабезпечення,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суб’єктів господарювання, які мають безперервний промисловий цикл, за умови забезпечення водіїв засобами індивідуального захисту, зокрема респіраторами або захисними масками, у тому числі виготовленими самостійно, та використання таких засобів індивідуального захисту пасажирами під час перевезення, в межах кількості місць для сидіння, передбаченої технічною характеристикою транспортного засобу або визначеної в реєстраційних документах на цей транспортний засіб, за умови інформування органів Національної поліції про здійснення перевезення.</w:t>
            </w:r>
          </w:p>
        </w:tc>
      </w:tr>
      <w:tr w:rsidR="00A636A0" w:rsidRPr="00A8397E" w:rsidTr="0073608D">
        <w:trPr>
          <w:gridAfter w:val="1"/>
          <w:wAfter w:w="15" w:type="dxa"/>
        </w:trPr>
        <w:tc>
          <w:tcPr>
            <w:tcW w:w="456" w:type="dxa"/>
            <w:vMerge/>
          </w:tcPr>
          <w:p w:rsidR="00A636A0" w:rsidRPr="00A8397E" w:rsidRDefault="00A636A0" w:rsidP="00A636A0">
            <w:pPr>
              <w:rPr>
                <w:sz w:val="23"/>
                <w:szCs w:val="23"/>
              </w:rPr>
            </w:pPr>
          </w:p>
        </w:tc>
        <w:tc>
          <w:tcPr>
            <w:tcW w:w="4364" w:type="dxa"/>
            <w:vMerge/>
          </w:tcPr>
          <w:p w:rsidR="00A636A0" w:rsidRPr="00A8397E" w:rsidRDefault="00A636A0" w:rsidP="0073608D">
            <w:pPr>
              <w:jc w:val="left"/>
              <w:rPr>
                <w:sz w:val="23"/>
                <w:szCs w:val="23"/>
              </w:rPr>
            </w:pPr>
          </w:p>
        </w:tc>
        <w:tc>
          <w:tcPr>
            <w:tcW w:w="636" w:type="dxa"/>
          </w:tcPr>
          <w:p w:rsidR="00A636A0" w:rsidRPr="00A8397E" w:rsidRDefault="00A636A0" w:rsidP="00A636A0">
            <w:pPr>
              <w:rPr>
                <w:sz w:val="23"/>
                <w:szCs w:val="23"/>
              </w:rPr>
            </w:pPr>
            <w:r w:rsidRPr="00A8397E">
              <w:rPr>
                <w:sz w:val="23"/>
                <w:szCs w:val="23"/>
              </w:rPr>
              <w:t>12.4</w:t>
            </w:r>
          </w:p>
        </w:tc>
        <w:tc>
          <w:tcPr>
            <w:tcW w:w="4416" w:type="dxa"/>
          </w:tcPr>
          <w:p w:rsidR="00A636A0" w:rsidRPr="00A8397E" w:rsidRDefault="00A636A0" w:rsidP="00A636A0">
            <w:pPr>
              <w:ind w:right="-105"/>
              <w:jc w:val="left"/>
              <w:rPr>
                <w:sz w:val="23"/>
                <w:szCs w:val="23"/>
              </w:rPr>
            </w:pPr>
            <w:r w:rsidRPr="00A8397E">
              <w:rPr>
                <w:sz w:val="23"/>
                <w:szCs w:val="23"/>
              </w:rPr>
              <w:t xml:space="preserve">Перевезення працівників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водозабезпечення,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осіб, які виявили бажання бути донорами крові та (або) її компонентів, на підставі посвідчення донора крові та (або) її компонентів або на підставі довідки, що видається донору за місцем медичного обстеження чи давання крові та (або) її компонентів, </w:t>
            </w:r>
            <w:r w:rsidRPr="00A8397E">
              <w:rPr>
                <w:sz w:val="23"/>
                <w:szCs w:val="23"/>
              </w:rPr>
              <w:lastRenderedPageBreak/>
              <w:t>суб’єктів господарювання, які мають безперервний промисловий цикл, за умови забезпечення водіїв засобами індивідуального захисту, зокрема респіраторами або захисними масками, у тому числі виготовленими самостійно, та використання таких засобів індивідуального захисту пасажирами під час перевезення, в межах кількості місць для сидіння, передбаченої технічною характеристикою транспортного засобу або визначеної в реєстраційних документах на цей транспортний засіб, а також дотримання відповідних санітарних та протиепідемічних заходів в міському електричному (трамвай, тролейбус) та автомобільному транспортному засобі, що здійснює регулярні пасажирські перевезення на міських маршрутах</w:t>
            </w:r>
          </w:p>
        </w:tc>
      </w:tr>
      <w:tr w:rsidR="00A636A0" w:rsidRPr="00A8397E" w:rsidTr="0073608D">
        <w:trPr>
          <w:gridAfter w:val="1"/>
          <w:wAfter w:w="15" w:type="dxa"/>
        </w:trPr>
        <w:tc>
          <w:tcPr>
            <w:tcW w:w="456" w:type="dxa"/>
          </w:tcPr>
          <w:p w:rsidR="00A636A0" w:rsidRPr="00A8397E" w:rsidRDefault="00A636A0" w:rsidP="00A636A0">
            <w:pPr>
              <w:rPr>
                <w:sz w:val="23"/>
                <w:szCs w:val="23"/>
              </w:rPr>
            </w:pPr>
            <w:r w:rsidRPr="00A8397E">
              <w:rPr>
                <w:sz w:val="23"/>
                <w:szCs w:val="23"/>
                <w:lang w:val="en-US"/>
              </w:rPr>
              <w:lastRenderedPageBreak/>
              <w:t>1</w:t>
            </w:r>
            <w:r w:rsidRPr="00A8397E">
              <w:rPr>
                <w:sz w:val="23"/>
                <w:szCs w:val="23"/>
              </w:rPr>
              <w:t>3</w:t>
            </w:r>
          </w:p>
        </w:tc>
        <w:tc>
          <w:tcPr>
            <w:tcW w:w="4364" w:type="dxa"/>
          </w:tcPr>
          <w:p w:rsidR="00A636A0" w:rsidRPr="00A8397E" w:rsidRDefault="00A636A0" w:rsidP="0073608D">
            <w:pPr>
              <w:jc w:val="left"/>
              <w:rPr>
                <w:sz w:val="23"/>
                <w:szCs w:val="23"/>
              </w:rPr>
            </w:pPr>
            <w:r w:rsidRPr="00A8397E">
              <w:rPr>
                <w:sz w:val="23"/>
                <w:szCs w:val="23"/>
              </w:rPr>
              <w:t>Здійснення перевезень пасажирів залізничним транспортом в усіх видах внутрішнього сполучення (приміському, міському, регіональному та дальньому)</w:t>
            </w:r>
            <w:r w:rsidR="002555B7" w:rsidRPr="00A8397E">
              <w:rPr>
                <w:sz w:val="23"/>
                <w:szCs w:val="23"/>
              </w:rPr>
              <w:t xml:space="preserve"> (крім пункту 13.1)</w:t>
            </w:r>
            <w:r w:rsidRPr="00A8397E">
              <w:rPr>
                <w:sz w:val="23"/>
                <w:szCs w:val="23"/>
              </w:rPr>
              <w:t>.</w:t>
            </w:r>
            <w:bookmarkStart w:id="0" w:name="_GoBack"/>
            <w:bookmarkEnd w:id="0"/>
          </w:p>
        </w:tc>
        <w:tc>
          <w:tcPr>
            <w:tcW w:w="636" w:type="dxa"/>
          </w:tcPr>
          <w:p w:rsidR="00A636A0" w:rsidRPr="00A8397E" w:rsidRDefault="00A636A0" w:rsidP="00A636A0">
            <w:pPr>
              <w:rPr>
                <w:sz w:val="23"/>
                <w:szCs w:val="23"/>
              </w:rPr>
            </w:pPr>
            <w:r w:rsidRPr="00A8397E">
              <w:rPr>
                <w:sz w:val="23"/>
                <w:szCs w:val="23"/>
                <w:lang w:val="en-US"/>
              </w:rPr>
              <w:t>1</w:t>
            </w:r>
            <w:r w:rsidRPr="00A8397E">
              <w:rPr>
                <w:sz w:val="23"/>
                <w:szCs w:val="23"/>
              </w:rPr>
              <w:t>3.1</w:t>
            </w:r>
          </w:p>
        </w:tc>
        <w:tc>
          <w:tcPr>
            <w:tcW w:w="4416" w:type="dxa"/>
          </w:tcPr>
          <w:p w:rsidR="00A636A0" w:rsidRPr="00A8397E" w:rsidRDefault="00A636A0" w:rsidP="00A636A0">
            <w:pPr>
              <w:ind w:right="-105"/>
              <w:jc w:val="left"/>
              <w:rPr>
                <w:sz w:val="23"/>
                <w:szCs w:val="23"/>
              </w:rPr>
            </w:pPr>
            <w:r w:rsidRPr="00A8397E">
              <w:rPr>
                <w:sz w:val="23"/>
                <w:szCs w:val="23"/>
              </w:rPr>
              <w:t>Здійснення акціонерним товариством “Українська залізниця” окремих пасажирських рейсів у внутрішньому залізничному сполученні, рішення щодо яких приймається в кожному окремому випадку за погодженням з Міністерством інфраструктури, а також окремих пасажирських рейсів у міжнародному залізничному сполученні, рішення щодо яких приймається в кожному окремому випадку за погодженням з Міністерством інфраструктури, Міністерством закордонних справ та Адміністрацією Державної прикордонної служби.</w:t>
            </w:r>
          </w:p>
        </w:tc>
      </w:tr>
    </w:tbl>
    <w:p w:rsidR="004A5F47" w:rsidRPr="00A8397E" w:rsidRDefault="004A5F47">
      <w:pPr>
        <w:rPr>
          <w:sz w:val="24"/>
        </w:rPr>
      </w:pPr>
    </w:p>
    <w:sectPr w:rsidR="004A5F47" w:rsidRPr="00A8397E" w:rsidSect="00A636A0">
      <w:headerReference w:type="default" r:id="rId6"/>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07" w:rsidRDefault="003C3607" w:rsidP="00A636A0">
      <w:r>
        <w:separator/>
      </w:r>
    </w:p>
  </w:endnote>
  <w:endnote w:type="continuationSeparator" w:id="0">
    <w:p w:rsidR="003C3607" w:rsidRDefault="003C3607" w:rsidP="00A6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07" w:rsidRDefault="003C3607" w:rsidP="00A636A0">
      <w:r>
        <w:separator/>
      </w:r>
    </w:p>
  </w:footnote>
  <w:footnote w:type="continuationSeparator" w:id="0">
    <w:p w:rsidR="003C3607" w:rsidRDefault="003C3607" w:rsidP="00A6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504736"/>
      <w:docPartObj>
        <w:docPartGallery w:val="Page Numbers (Top of Page)"/>
        <w:docPartUnique/>
      </w:docPartObj>
    </w:sdtPr>
    <w:sdtEndPr>
      <w:rPr>
        <w:sz w:val="20"/>
      </w:rPr>
    </w:sdtEndPr>
    <w:sdtContent>
      <w:p w:rsidR="00A636A0" w:rsidRPr="00A636A0" w:rsidRDefault="00A636A0">
        <w:pPr>
          <w:pStyle w:val="a4"/>
          <w:rPr>
            <w:sz w:val="20"/>
          </w:rPr>
        </w:pPr>
        <w:r w:rsidRPr="00A636A0">
          <w:rPr>
            <w:sz w:val="20"/>
          </w:rPr>
          <w:fldChar w:fldCharType="begin"/>
        </w:r>
        <w:r w:rsidRPr="00A636A0">
          <w:rPr>
            <w:sz w:val="20"/>
          </w:rPr>
          <w:instrText>PAGE   \* MERGEFORMAT</w:instrText>
        </w:r>
        <w:r w:rsidRPr="00A636A0">
          <w:rPr>
            <w:sz w:val="20"/>
          </w:rPr>
          <w:fldChar w:fldCharType="separate"/>
        </w:r>
        <w:r w:rsidR="0073608D">
          <w:rPr>
            <w:noProof/>
            <w:sz w:val="20"/>
          </w:rPr>
          <w:t>5</w:t>
        </w:r>
        <w:r w:rsidRPr="00A636A0">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70"/>
    <w:rsid w:val="001745CE"/>
    <w:rsid w:val="001D14C5"/>
    <w:rsid w:val="001E3CD4"/>
    <w:rsid w:val="00212FA4"/>
    <w:rsid w:val="00232B84"/>
    <w:rsid w:val="002555B7"/>
    <w:rsid w:val="0028153A"/>
    <w:rsid w:val="002E2713"/>
    <w:rsid w:val="003C3607"/>
    <w:rsid w:val="00472A69"/>
    <w:rsid w:val="00486B71"/>
    <w:rsid w:val="004A5F47"/>
    <w:rsid w:val="004A6033"/>
    <w:rsid w:val="00545B76"/>
    <w:rsid w:val="005E798A"/>
    <w:rsid w:val="00600BD6"/>
    <w:rsid w:val="00616F4F"/>
    <w:rsid w:val="006653B4"/>
    <w:rsid w:val="00667185"/>
    <w:rsid w:val="006D01B6"/>
    <w:rsid w:val="006E32C5"/>
    <w:rsid w:val="0073608D"/>
    <w:rsid w:val="00781470"/>
    <w:rsid w:val="009007F8"/>
    <w:rsid w:val="009E1B9E"/>
    <w:rsid w:val="00A1344B"/>
    <w:rsid w:val="00A41B6D"/>
    <w:rsid w:val="00A636A0"/>
    <w:rsid w:val="00A8397E"/>
    <w:rsid w:val="00B30AF9"/>
    <w:rsid w:val="00D220C4"/>
    <w:rsid w:val="00D62E70"/>
    <w:rsid w:val="00D84D1B"/>
    <w:rsid w:val="00DB29A2"/>
    <w:rsid w:val="00DD2B97"/>
    <w:rsid w:val="00E52EFB"/>
    <w:rsid w:val="00EC16E5"/>
    <w:rsid w:val="00EF2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A3C"/>
  <w15:chartTrackingRefBased/>
  <w15:docId w15:val="{61694102-7064-47EC-B219-953625C7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36A0"/>
    <w:pPr>
      <w:tabs>
        <w:tab w:val="center" w:pos="4819"/>
        <w:tab w:val="right" w:pos="9639"/>
      </w:tabs>
    </w:pPr>
  </w:style>
  <w:style w:type="character" w:customStyle="1" w:styleId="a5">
    <w:name w:val="Верхний колонтитул Знак"/>
    <w:basedOn w:val="a0"/>
    <w:link w:val="a4"/>
    <w:uiPriority w:val="99"/>
    <w:rsid w:val="00A636A0"/>
  </w:style>
  <w:style w:type="paragraph" w:styleId="a6">
    <w:name w:val="footer"/>
    <w:basedOn w:val="a"/>
    <w:link w:val="a7"/>
    <w:uiPriority w:val="99"/>
    <w:unhideWhenUsed/>
    <w:rsid w:val="00A636A0"/>
    <w:pPr>
      <w:tabs>
        <w:tab w:val="center" w:pos="4819"/>
        <w:tab w:val="right" w:pos="9639"/>
      </w:tabs>
    </w:pPr>
  </w:style>
  <w:style w:type="character" w:customStyle="1" w:styleId="a7">
    <w:name w:val="Нижний колонтитул Знак"/>
    <w:basedOn w:val="a0"/>
    <w:link w:val="a6"/>
    <w:uiPriority w:val="99"/>
    <w:rsid w:val="00A6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95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8998</Words>
  <Characters>5129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2020-06-19T09:28:00Z</dcterms:created>
  <dcterms:modified xsi:type="dcterms:W3CDTF">2020-06-19T09:28:00Z</dcterms:modified>
</cp:coreProperties>
</file>