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1E" w:rsidRDefault="00EE251E" w:rsidP="00EE251E">
      <w:pPr>
        <w:jc w:val="center"/>
        <w:rPr>
          <w:sz w:val="10"/>
          <w:szCs w:val="10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1E" w:rsidRDefault="00EE251E" w:rsidP="00EE251E">
      <w:pPr>
        <w:jc w:val="center"/>
        <w:rPr>
          <w:sz w:val="10"/>
          <w:szCs w:val="10"/>
        </w:rPr>
      </w:pPr>
    </w:p>
    <w:p w:rsidR="00EE251E" w:rsidRDefault="00EE251E" w:rsidP="00EE251E">
      <w:pPr>
        <w:pStyle w:val="a3"/>
        <w:rPr>
          <w:sz w:val="6"/>
          <w:szCs w:val="6"/>
        </w:rPr>
      </w:pPr>
    </w:p>
    <w:p w:rsidR="00EE251E" w:rsidRDefault="00EE251E" w:rsidP="00EE251E">
      <w:pPr>
        <w:pStyle w:val="a3"/>
        <w:spacing w:line="360" w:lineRule="auto"/>
        <w:rPr>
          <w:sz w:val="10"/>
          <w:szCs w:val="10"/>
        </w:rPr>
      </w:pPr>
      <w:r>
        <w:rPr>
          <w:sz w:val="24"/>
          <w:szCs w:val="24"/>
        </w:rPr>
        <w:t>УКРАЇНА</w:t>
      </w:r>
    </w:p>
    <w:p w:rsidR="00EE251E" w:rsidRDefault="00EE251E" w:rsidP="00EE251E">
      <w:pPr>
        <w:pStyle w:val="2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МІСЬКА РАДА ВОЛИНСЬКОЇ ОБЛАСТІ</w:t>
      </w:r>
    </w:p>
    <w:p w:rsidR="00EE251E" w:rsidRPr="00922DDF" w:rsidRDefault="00EE251E" w:rsidP="00EE251E">
      <w:pPr>
        <w:spacing w:line="360" w:lineRule="auto"/>
        <w:jc w:val="center"/>
        <w:rPr>
          <w:sz w:val="24"/>
          <w:szCs w:val="24"/>
        </w:rPr>
      </w:pPr>
      <w:r w:rsidRPr="00922DDF">
        <w:rPr>
          <w:sz w:val="24"/>
          <w:szCs w:val="24"/>
        </w:rPr>
        <w:t>СЬОМОГО СКЛИКАННЯ</w:t>
      </w:r>
    </w:p>
    <w:p w:rsidR="00EE251E" w:rsidRDefault="00EE251E" w:rsidP="00EE251E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E251E" w:rsidRDefault="00EE251E" w:rsidP="00EE251E"/>
    <w:p w:rsidR="00EE251E" w:rsidRDefault="00EE251E" w:rsidP="00EE251E">
      <w:pPr>
        <w:rPr>
          <w:sz w:val="28"/>
          <w:szCs w:val="28"/>
        </w:rPr>
      </w:pPr>
      <w:r w:rsidRPr="009234B2">
        <w:rPr>
          <w:sz w:val="28"/>
          <w:szCs w:val="28"/>
          <w:u w:val="single"/>
        </w:rPr>
        <w:t xml:space="preserve">від </w:t>
      </w:r>
      <w:r>
        <w:rPr>
          <w:sz w:val="28"/>
          <w:szCs w:val="28"/>
          <w:u w:val="single"/>
        </w:rPr>
        <w:t>25 червня 2020</w:t>
      </w:r>
      <w:r w:rsidRPr="009234B2">
        <w:rPr>
          <w:sz w:val="28"/>
          <w:szCs w:val="28"/>
          <w:u w:val="single"/>
        </w:rPr>
        <w:t xml:space="preserve"> року </w:t>
      </w:r>
      <w:r w:rsidRPr="00337921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37</w:t>
      </w:r>
      <w:r w:rsidRPr="00337921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                                    </w:t>
      </w:r>
    </w:p>
    <w:p w:rsidR="00EE251E" w:rsidRDefault="00EE251E" w:rsidP="00EE251E">
      <w:pPr>
        <w:rPr>
          <w:sz w:val="28"/>
          <w:szCs w:val="28"/>
        </w:rPr>
      </w:pPr>
      <w:r>
        <w:rPr>
          <w:sz w:val="28"/>
          <w:szCs w:val="28"/>
        </w:rPr>
        <w:t>м. Нововолинська</w:t>
      </w:r>
    </w:p>
    <w:p w:rsidR="00EE251E" w:rsidRDefault="00EE251E" w:rsidP="00EE251E">
      <w:pPr>
        <w:rPr>
          <w:sz w:val="16"/>
          <w:szCs w:val="16"/>
        </w:rPr>
      </w:pPr>
    </w:p>
    <w:p w:rsidR="00EE251E" w:rsidRDefault="00EE251E" w:rsidP="00EE251E">
      <w:pPr>
        <w:rPr>
          <w:sz w:val="28"/>
          <w:szCs w:val="28"/>
        </w:rPr>
      </w:pPr>
      <w:r w:rsidRPr="00D46F00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>КП «Нововолинськ-</w:t>
      </w:r>
    </w:p>
    <w:p w:rsidR="00EE251E" w:rsidRPr="00D46F00" w:rsidRDefault="00EE251E" w:rsidP="00EE25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теплокомуненерго</w:t>
      </w:r>
      <w:proofErr w:type="spellEnd"/>
      <w:r>
        <w:rPr>
          <w:sz w:val="28"/>
          <w:szCs w:val="28"/>
        </w:rPr>
        <w:t>»</w:t>
      </w:r>
    </w:p>
    <w:p w:rsidR="00EE251E" w:rsidRDefault="00EE251E" w:rsidP="00EE251E">
      <w:pPr>
        <w:rPr>
          <w:bCs/>
          <w:sz w:val="28"/>
          <w:szCs w:val="28"/>
        </w:rPr>
      </w:pPr>
    </w:p>
    <w:p w:rsidR="00EE251E" w:rsidRDefault="00EE251E" w:rsidP="00EE2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Заслухавши інформацію директора</w:t>
      </w:r>
      <w:r w:rsidRPr="00D46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комунального </w:t>
      </w:r>
      <w:r w:rsidRPr="00D46F00">
        <w:rPr>
          <w:sz w:val="28"/>
          <w:szCs w:val="28"/>
        </w:rPr>
        <w:t xml:space="preserve">підприємства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>» Гаврилюка А.М. про роботу підприємства</w:t>
      </w:r>
      <w:r w:rsidRPr="00D46F00">
        <w:rPr>
          <w:sz w:val="28"/>
          <w:szCs w:val="28"/>
        </w:rPr>
        <w:t>, міська рада</w:t>
      </w:r>
    </w:p>
    <w:p w:rsidR="00EE251E" w:rsidRPr="00D46F00" w:rsidRDefault="00EE251E" w:rsidP="00EE251E">
      <w:pPr>
        <w:jc w:val="both"/>
        <w:rPr>
          <w:bCs/>
          <w:sz w:val="28"/>
          <w:szCs w:val="28"/>
        </w:rPr>
      </w:pPr>
    </w:p>
    <w:p w:rsidR="00EE251E" w:rsidRDefault="00EE251E" w:rsidP="00EE251E">
      <w:pPr>
        <w:pStyle w:val="2"/>
        <w:spacing w:after="0" w:line="240" w:lineRule="auto"/>
        <w:ind w:firstLine="708"/>
        <w:jc w:val="center"/>
        <w:rPr>
          <w:sz w:val="28"/>
          <w:szCs w:val="28"/>
        </w:rPr>
      </w:pPr>
      <w:r w:rsidRPr="00415728">
        <w:rPr>
          <w:sz w:val="28"/>
          <w:szCs w:val="28"/>
        </w:rPr>
        <w:t>В И Р І Ш И Л А:</w:t>
      </w:r>
    </w:p>
    <w:p w:rsidR="00EE251E" w:rsidRPr="00D46F00" w:rsidRDefault="00EE251E" w:rsidP="00EE251E">
      <w:pPr>
        <w:pStyle w:val="2"/>
        <w:spacing w:after="0" w:line="240" w:lineRule="auto"/>
        <w:ind w:firstLine="708"/>
        <w:jc w:val="center"/>
        <w:rPr>
          <w:sz w:val="28"/>
          <w:szCs w:val="28"/>
        </w:rPr>
      </w:pPr>
    </w:p>
    <w:p w:rsidR="00EE251E" w:rsidRDefault="00EE251E" w:rsidP="00EE251E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D46F00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директора</w:t>
      </w:r>
      <w:r w:rsidRPr="00D46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комунального </w:t>
      </w:r>
      <w:r w:rsidRPr="00D46F00">
        <w:rPr>
          <w:sz w:val="28"/>
          <w:szCs w:val="28"/>
        </w:rPr>
        <w:t xml:space="preserve">підприємства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>» Гаврилюка А.М.</w:t>
      </w:r>
      <w:r w:rsidRPr="00D46F00">
        <w:rPr>
          <w:sz w:val="28"/>
          <w:szCs w:val="28"/>
        </w:rPr>
        <w:t xml:space="preserve"> про роботу підприємства взяти до відома. </w:t>
      </w:r>
    </w:p>
    <w:p w:rsidR="00EE251E" w:rsidRDefault="00EE251E" w:rsidP="00EE251E">
      <w:pPr>
        <w:jc w:val="both"/>
        <w:rPr>
          <w:sz w:val="28"/>
          <w:szCs w:val="28"/>
        </w:rPr>
      </w:pPr>
    </w:p>
    <w:p w:rsidR="00EE251E" w:rsidRDefault="00EE251E" w:rsidP="00EE251E">
      <w:pPr>
        <w:jc w:val="both"/>
        <w:rPr>
          <w:sz w:val="28"/>
          <w:szCs w:val="28"/>
        </w:rPr>
      </w:pPr>
    </w:p>
    <w:p w:rsidR="00EE251E" w:rsidRDefault="00EE251E" w:rsidP="00EE251E">
      <w:pPr>
        <w:jc w:val="both"/>
        <w:rPr>
          <w:sz w:val="28"/>
          <w:szCs w:val="28"/>
        </w:rPr>
      </w:pPr>
    </w:p>
    <w:p w:rsidR="00EE251E" w:rsidRDefault="00EE251E" w:rsidP="00EE251E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В.Б. </w:t>
      </w:r>
      <w:proofErr w:type="spellStart"/>
      <w:r>
        <w:rPr>
          <w:sz w:val="28"/>
          <w:szCs w:val="28"/>
        </w:rPr>
        <w:t>Сапожніков</w:t>
      </w:r>
      <w:proofErr w:type="spellEnd"/>
    </w:p>
    <w:p w:rsidR="00EE251E" w:rsidRDefault="00EE251E" w:rsidP="00EE251E">
      <w:pPr>
        <w:pStyle w:val="2"/>
        <w:spacing w:after="0" w:line="240" w:lineRule="auto"/>
        <w:rPr>
          <w:sz w:val="28"/>
          <w:szCs w:val="28"/>
        </w:rPr>
      </w:pPr>
    </w:p>
    <w:p w:rsidR="00EE251E" w:rsidRPr="00E91D89" w:rsidRDefault="00EE251E" w:rsidP="00EE251E">
      <w:pPr>
        <w:pStyle w:val="2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Миронюк</w:t>
      </w:r>
      <w:proofErr w:type="spellEnd"/>
      <w:r>
        <w:rPr>
          <w:sz w:val="24"/>
          <w:szCs w:val="24"/>
        </w:rPr>
        <w:t xml:space="preserve"> 32335</w:t>
      </w:r>
    </w:p>
    <w:p w:rsidR="00EE251E" w:rsidRDefault="00EE251E" w:rsidP="00EE251E"/>
    <w:p w:rsidR="00EE251E" w:rsidRDefault="00EE251E" w:rsidP="00EE251E"/>
    <w:p w:rsidR="00EE251E" w:rsidRDefault="00EE251E" w:rsidP="00EE251E"/>
    <w:p w:rsidR="00EE251E" w:rsidRDefault="00EE251E" w:rsidP="00EE251E"/>
    <w:p w:rsidR="00EE251E" w:rsidRDefault="00EE251E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EE251E">
      <w:pPr>
        <w:jc w:val="both"/>
        <w:rPr>
          <w:b/>
          <w:bCs/>
          <w:sz w:val="28"/>
          <w:szCs w:val="28"/>
        </w:rPr>
      </w:pPr>
    </w:p>
    <w:p w:rsidR="007277FB" w:rsidRDefault="007277FB" w:rsidP="007277FB">
      <w:pPr>
        <w:jc w:val="both"/>
        <w:rPr>
          <w:sz w:val="28"/>
          <w:szCs w:val="28"/>
          <w:lang w:eastAsia="hi-IN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Додаток</w:t>
      </w:r>
    </w:p>
    <w:p w:rsidR="007277FB" w:rsidRDefault="007277FB" w:rsidP="00727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рішення міської ради</w:t>
      </w:r>
    </w:p>
    <w:p w:rsidR="007277FB" w:rsidRDefault="007277FB" w:rsidP="007277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25.06.2020 №37/1</w:t>
      </w:r>
    </w:p>
    <w:p w:rsidR="007277FB" w:rsidRDefault="007277FB" w:rsidP="007277FB">
      <w:pPr>
        <w:jc w:val="both"/>
        <w:rPr>
          <w:b/>
          <w:bCs/>
          <w:sz w:val="28"/>
          <w:szCs w:val="28"/>
        </w:rPr>
      </w:pPr>
      <w:r>
        <w:rPr>
          <w:sz w:val="21"/>
          <w:szCs w:val="21"/>
          <w:lang w:val="ru-RU"/>
        </w:rPr>
        <w:t xml:space="preserve">                                                                                                           </w:t>
      </w:r>
    </w:p>
    <w:p w:rsidR="007277FB" w:rsidRDefault="007277FB" w:rsidP="007277FB">
      <w:pPr>
        <w:jc w:val="both"/>
        <w:rPr>
          <w:b/>
          <w:bCs/>
          <w:sz w:val="28"/>
          <w:szCs w:val="28"/>
        </w:rPr>
      </w:pPr>
      <w:r>
        <w:rPr>
          <w:sz w:val="21"/>
          <w:szCs w:val="21"/>
          <w:lang w:val="ru-RU"/>
        </w:rPr>
        <w:t xml:space="preserve">                                                                                                           </w:t>
      </w:r>
    </w:p>
    <w:p w:rsidR="007277FB" w:rsidRDefault="007277FB" w:rsidP="007277F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  <w:u w:val="single"/>
        </w:rPr>
        <w:t>Інформація про роботу КП “</w:t>
      </w:r>
      <w:proofErr w:type="spellStart"/>
      <w:r>
        <w:rPr>
          <w:b/>
          <w:bCs/>
          <w:sz w:val="32"/>
          <w:szCs w:val="32"/>
          <w:u w:val="single"/>
        </w:rPr>
        <w:t>Нововолинськтеплокомуненерго</w:t>
      </w:r>
      <w:proofErr w:type="spellEnd"/>
      <w:r>
        <w:rPr>
          <w:b/>
          <w:bCs/>
          <w:sz w:val="32"/>
          <w:szCs w:val="32"/>
          <w:u w:val="single"/>
        </w:rPr>
        <w:t>”</w:t>
      </w:r>
    </w:p>
    <w:p w:rsidR="007277FB" w:rsidRDefault="007277FB" w:rsidP="007277FB">
      <w:pPr>
        <w:jc w:val="center"/>
        <w:rPr>
          <w:sz w:val="28"/>
          <w:szCs w:val="28"/>
        </w:rPr>
      </w:pPr>
    </w:p>
    <w:p w:rsidR="007277FB" w:rsidRDefault="007277FB" w:rsidP="007277FB">
      <w:pPr>
        <w:jc w:val="both"/>
        <w:rPr>
          <w:sz w:val="30"/>
          <w:szCs w:val="3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30"/>
          <w:szCs w:val="30"/>
        </w:rPr>
        <w:t>Підприємство “</w:t>
      </w:r>
      <w:proofErr w:type="spellStart"/>
      <w:r>
        <w:rPr>
          <w:sz w:val="30"/>
          <w:szCs w:val="30"/>
        </w:rPr>
        <w:t>Нововолинськтеплокомуненерго</w:t>
      </w:r>
      <w:proofErr w:type="spellEnd"/>
      <w:r>
        <w:rPr>
          <w:sz w:val="30"/>
          <w:szCs w:val="30"/>
        </w:rPr>
        <w:t xml:space="preserve">” - це сукупний комплекс </w:t>
      </w:r>
      <w:r>
        <w:rPr>
          <w:color w:val="000000"/>
          <w:sz w:val="30"/>
          <w:szCs w:val="30"/>
          <w:shd w:val="clear" w:color="auto" w:fill="FFFFFF"/>
        </w:rPr>
        <w:t xml:space="preserve">  джерел  теплової енергії для централізованого опалення та гарячого водопостачання через інженерні системи житлових будинків та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об”єктів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соціально-культурного призначення. </w:t>
      </w:r>
    </w:p>
    <w:p w:rsidR="007277FB" w:rsidRDefault="007277FB" w:rsidP="007277F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 складі підприємства 5 структурних  підрозділів - 3 виробничих дільниці, </w:t>
      </w:r>
      <w:proofErr w:type="spellStart"/>
      <w:r>
        <w:rPr>
          <w:sz w:val="30"/>
          <w:szCs w:val="30"/>
        </w:rPr>
        <w:t>автогараж</w:t>
      </w:r>
      <w:proofErr w:type="spellEnd"/>
      <w:r>
        <w:rPr>
          <w:sz w:val="30"/>
          <w:szCs w:val="30"/>
        </w:rPr>
        <w:t xml:space="preserve"> та служба аварійно-відновлювальних робіт.</w:t>
      </w:r>
    </w:p>
    <w:p w:rsidR="007277FB" w:rsidRDefault="007277FB" w:rsidP="007277FB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Виробництво теплової енергії здійснюється на 6 котельних та транспортується і постачається магістральними трубопроводами протяжністю 57,2 км (в двотрубному), з них 9,8км (в двотрубному)-</w:t>
      </w:r>
      <w:proofErr w:type="spellStart"/>
      <w:r>
        <w:rPr>
          <w:sz w:val="30"/>
          <w:szCs w:val="30"/>
        </w:rPr>
        <w:t>попередньоізольовані</w:t>
      </w:r>
      <w:proofErr w:type="spellEnd"/>
      <w:r>
        <w:rPr>
          <w:sz w:val="30"/>
          <w:szCs w:val="30"/>
        </w:rPr>
        <w:t xml:space="preserve"> труби, що складає- 17,4% від загальної протяжності. Гарячу воду   подають  8 центральних теплових пунктів, згідно затвердженого графіка</w:t>
      </w:r>
    </w:p>
    <w:p w:rsidR="007277FB" w:rsidRDefault="007277FB" w:rsidP="007277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. Підприємство забезпечує 85% загальноміського обсягу житлової </w:t>
      </w:r>
      <w:proofErr w:type="spellStart"/>
      <w:r>
        <w:rPr>
          <w:sz w:val="30"/>
          <w:szCs w:val="30"/>
        </w:rPr>
        <w:t>площі.У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зв”язку</w:t>
      </w:r>
      <w:proofErr w:type="spellEnd"/>
      <w:r>
        <w:rPr>
          <w:sz w:val="30"/>
          <w:szCs w:val="30"/>
        </w:rPr>
        <w:t xml:space="preserve"> з довготривалою експлуатацією обладнання </w:t>
      </w:r>
      <w:proofErr w:type="spellStart"/>
      <w:r>
        <w:rPr>
          <w:sz w:val="30"/>
          <w:szCs w:val="30"/>
        </w:rPr>
        <w:t>котелень</w:t>
      </w:r>
      <w:proofErr w:type="spellEnd"/>
      <w:r>
        <w:rPr>
          <w:sz w:val="30"/>
          <w:szCs w:val="30"/>
        </w:rPr>
        <w:t xml:space="preserve"> їх знос становить-60%.</w:t>
      </w:r>
    </w:p>
    <w:p w:rsidR="007277FB" w:rsidRDefault="007277FB" w:rsidP="007277FB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Теплокомуненерго</w:t>
      </w:r>
      <w:proofErr w:type="spellEnd"/>
      <w:r>
        <w:rPr>
          <w:sz w:val="30"/>
          <w:szCs w:val="30"/>
        </w:rPr>
        <w:t xml:space="preserve"> опалює 778,6 тис.м². площі 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 xml:space="preserve">. </w:t>
      </w:r>
      <w:r>
        <w:rPr>
          <w:sz w:val="30"/>
          <w:szCs w:val="30"/>
          <w:shd w:val="clear" w:color="auto" w:fill="FFFF99"/>
        </w:rPr>
        <w:t>462</w:t>
      </w:r>
      <w:r>
        <w:rPr>
          <w:sz w:val="30"/>
          <w:szCs w:val="30"/>
        </w:rPr>
        <w:t xml:space="preserve"> житлових будинків, гаряча вода подається у 3 413 квартир. Для надання послуг з теплопостачання  в  2019 році вироблено 87,2 </w:t>
      </w:r>
      <w:proofErr w:type="spellStart"/>
      <w:r>
        <w:rPr>
          <w:sz w:val="30"/>
          <w:szCs w:val="30"/>
        </w:rPr>
        <w:t>тис.Гкал</w:t>
      </w:r>
      <w:proofErr w:type="spellEnd"/>
      <w:r>
        <w:rPr>
          <w:sz w:val="30"/>
          <w:szCs w:val="30"/>
        </w:rPr>
        <w:t xml:space="preserve">., теплової енергії, спожито 11906 тис.м³ природного газу та 4 472 тис. </w:t>
      </w:r>
      <w:proofErr w:type="spellStart"/>
      <w:r>
        <w:rPr>
          <w:sz w:val="30"/>
          <w:szCs w:val="30"/>
        </w:rPr>
        <w:t>Квт</w:t>
      </w:r>
      <w:proofErr w:type="spellEnd"/>
      <w:r>
        <w:rPr>
          <w:sz w:val="30"/>
          <w:szCs w:val="30"/>
        </w:rPr>
        <w:t>-год електричної енергії.</w:t>
      </w:r>
    </w:p>
    <w:p w:rsidR="007277FB" w:rsidRDefault="007277FB" w:rsidP="007277FB">
      <w:pPr>
        <w:ind w:firstLine="540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В структурі реалізації теплової енергії переважає послуга опалення, частка якої в загальному обсязі реалізованої теплової енергії становила 98,87%  частка послуги ГВП  складає 1,13%. Структура реалізації </w:t>
      </w:r>
      <w:r>
        <w:rPr>
          <w:iCs/>
          <w:color w:val="000000"/>
          <w:sz w:val="30"/>
          <w:szCs w:val="30"/>
          <w:shd w:val="clear" w:color="auto" w:fill="FFFFFF"/>
        </w:rPr>
        <w:t>теплової енергії за</w:t>
      </w:r>
      <w:r>
        <w:rPr>
          <w:color w:val="000000"/>
          <w:sz w:val="30"/>
          <w:szCs w:val="30"/>
          <w:shd w:val="clear" w:color="auto" w:fill="FFFFFF"/>
        </w:rPr>
        <w:t xml:space="preserve"> категоріями споживачів дещо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змінилась.На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початку опалювального періоду 2019-2020рр.  Частина бюджетних установ була переведена на альтернативні джерела енергії . Населення є найбільшим споживачем послуг підприємства, якому належить 82,5 % загального обсягу реалізованої теплової енергії.  </w:t>
      </w:r>
    </w:p>
    <w:p w:rsidR="007277FB" w:rsidRDefault="007277FB" w:rsidP="007277FB">
      <w:pPr>
        <w:jc w:val="both"/>
        <w:rPr>
          <w:rFonts w:cs="Mangal"/>
          <w:sz w:val="30"/>
          <w:szCs w:val="30"/>
        </w:rPr>
      </w:pPr>
      <w:r>
        <w:rPr>
          <w:sz w:val="30"/>
          <w:szCs w:val="30"/>
        </w:rPr>
        <w:tab/>
        <w:t>Чисельність персоналу КП “</w:t>
      </w:r>
      <w:proofErr w:type="spellStart"/>
      <w:r>
        <w:rPr>
          <w:sz w:val="30"/>
          <w:szCs w:val="30"/>
        </w:rPr>
        <w:t>Нововолинськтеплокомуненерго</w:t>
      </w:r>
      <w:proofErr w:type="spellEnd"/>
      <w:r>
        <w:rPr>
          <w:sz w:val="30"/>
          <w:szCs w:val="30"/>
        </w:rPr>
        <w:t xml:space="preserve">” складає 192 працівника (в </w:t>
      </w:r>
      <w:proofErr w:type="spellStart"/>
      <w:r>
        <w:rPr>
          <w:sz w:val="30"/>
          <w:szCs w:val="30"/>
        </w:rPr>
        <w:t>опалюючий</w:t>
      </w:r>
      <w:proofErr w:type="spellEnd"/>
      <w:r>
        <w:rPr>
          <w:sz w:val="30"/>
          <w:szCs w:val="30"/>
        </w:rPr>
        <w:t xml:space="preserve"> період) та 146 працівників в </w:t>
      </w:r>
      <w:proofErr w:type="spellStart"/>
      <w:r>
        <w:rPr>
          <w:sz w:val="30"/>
          <w:szCs w:val="30"/>
        </w:rPr>
        <w:t>міжопалювальний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період.Середня</w:t>
      </w:r>
      <w:proofErr w:type="spellEnd"/>
      <w:r>
        <w:rPr>
          <w:sz w:val="30"/>
          <w:szCs w:val="30"/>
        </w:rPr>
        <w:t xml:space="preserve"> заробітна плата на підприємстві становить 9388 грн. </w:t>
      </w:r>
    </w:p>
    <w:p w:rsidR="007277FB" w:rsidRDefault="007277FB" w:rsidP="007277FB">
      <w:pPr>
        <w:jc w:val="both"/>
        <w:rPr>
          <w:color w:val="000000"/>
          <w:sz w:val="30"/>
          <w:szCs w:val="30"/>
          <w:shd w:val="clear" w:color="auto" w:fill="FFFFFF"/>
          <w:lang w:eastAsia="or-IN" w:bidi="or-IN"/>
        </w:rPr>
      </w:pPr>
      <w:r>
        <w:rPr>
          <w:sz w:val="30"/>
          <w:szCs w:val="30"/>
        </w:rPr>
        <w:t xml:space="preserve">   Господарська діяльність здійснюється на підставі Розпорядження Волинської обласної державної адміністрації від 22вересня 2017р. №479 “Про переоформлення ліцензій з виробництва, транспортування та постачання теплової енергії на </w:t>
      </w:r>
      <w:r>
        <w:rPr>
          <w:b/>
          <w:bCs/>
          <w:sz w:val="30"/>
          <w:szCs w:val="30"/>
        </w:rPr>
        <w:t>безстрокові”</w:t>
      </w:r>
      <w:r>
        <w:rPr>
          <w:sz w:val="30"/>
          <w:szCs w:val="30"/>
        </w:rPr>
        <w:t xml:space="preserve">.  </w:t>
      </w:r>
    </w:p>
    <w:p w:rsidR="007277FB" w:rsidRDefault="007277FB" w:rsidP="007277FB">
      <w:pPr>
        <w:pStyle w:val="CorpsdetexteSeureca"/>
        <w:spacing w:before="0" w:line="240" w:lineRule="auto"/>
        <w:ind w:left="0" w:firstLine="540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uk-UA" w:eastAsia="or-IN" w:bidi="or-IN"/>
        </w:rPr>
        <w:t xml:space="preserve">При проведені аналізу фінансового стану підприємства необхідно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uk-UA" w:eastAsia="or-IN" w:bidi="or-IN"/>
        </w:rPr>
        <w:lastRenderedPageBreak/>
        <w:t>врахувати такий важливий фактор, як змінний характер комерційної діяльності протягом календарного року: великі об’єми виробництва і реалізації в час холодної пори року, і обмежена діяльність навесні та влітку.</w:t>
      </w:r>
    </w:p>
    <w:p w:rsidR="007277FB" w:rsidRDefault="007277FB" w:rsidP="007277FB">
      <w:pPr>
        <w:ind w:firstLine="540"/>
        <w:jc w:val="both"/>
        <w:rPr>
          <w:iCs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Доходи від основної діяльності підприємства за 2019 рік склали 124837,4тис.грн., а витрати становили 124140,80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тис.грн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. </w:t>
      </w:r>
      <w:r>
        <w:rPr>
          <w:iCs/>
          <w:color w:val="000000"/>
          <w:sz w:val="30"/>
          <w:szCs w:val="30"/>
          <w:shd w:val="clear" w:color="auto" w:fill="FFFFFF"/>
        </w:rPr>
        <w:t xml:space="preserve">Отримано 696,6тис. прибутку. </w:t>
      </w:r>
    </w:p>
    <w:p w:rsidR="007277FB" w:rsidRDefault="007277FB" w:rsidP="007277FB">
      <w:pPr>
        <w:ind w:firstLine="54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iCs/>
          <w:color w:val="000000"/>
          <w:sz w:val="30"/>
          <w:szCs w:val="30"/>
          <w:shd w:val="clear" w:color="auto" w:fill="FFFFFF"/>
        </w:rPr>
        <w:t>П</w:t>
      </w:r>
      <w:r>
        <w:rPr>
          <w:color w:val="000000"/>
          <w:sz w:val="30"/>
          <w:szCs w:val="30"/>
          <w:shd w:val="clear" w:color="auto" w:fill="FFFFFF"/>
        </w:rPr>
        <w:t>ідприємством здійснювались щомісячні коригування тарифів на опалення відповідно до Постанов КМУ № 1082 від 24.12.2019р., та  №156 від 16.03.2017р.  без зміни  (перегляду) статей витрат , крім газової складової (в частині вартості природного газу).</w:t>
      </w:r>
    </w:p>
    <w:p w:rsidR="007277FB" w:rsidRDefault="007277FB" w:rsidP="007277FB">
      <w:pPr>
        <w:ind w:firstLine="54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В структурі витрат на виробництво послуг теплопостачання паливо є найбільшою статтею і складає значну питому вагу, а саме понад 73% по кожній категорії споживачів. Плата за паливо є одним з найбільш проблемних питань для підприємства, оскільки заборгованість підприємства за використаний природний газ  станом на 01.06.20р. Складає- 37607,5тис.грн. </w:t>
      </w:r>
    </w:p>
    <w:p w:rsidR="007277FB" w:rsidRDefault="007277FB" w:rsidP="007277FB">
      <w:pPr>
        <w:ind w:firstLine="54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Сьогодні хочу відмітити, що не зважаючи на заборгованість ми  отримали від ПАТ “НАК “Нафтогаз України” підписані договори на постачання природного газу на  опалювальний період 2019-2020 років. Які умови отримання лімітів на опалювальний період 2020-2021рр. час покаже. </w:t>
      </w:r>
    </w:p>
    <w:p w:rsidR="007277FB" w:rsidRDefault="007277FB" w:rsidP="007277FB">
      <w:pPr>
        <w:ind w:firstLine="540"/>
        <w:jc w:val="both"/>
        <w:rPr>
          <w:rStyle w:val="mediumtext1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Здійснюючи господарську діяльність підприємство на сьогодні обмежене в використанні власних коштів, оскільки функціонують рахунки із спеціальним режимом використання. Реєстр розподілу коштів по рахунку затверджується комісією НКРЕКП і напряму подається в банківську установу для розподілу коштів отриманих за теплову енергію. На сьогодні ми вільні в розпорядженні лише 23 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%  </w:t>
      </w:r>
      <w:r>
        <w:rPr>
          <w:color w:val="000000"/>
          <w:sz w:val="30"/>
          <w:szCs w:val="30"/>
          <w:shd w:val="clear" w:color="auto" w:fill="FFFFFF"/>
        </w:rPr>
        <w:t xml:space="preserve">від отриманих коштів, а левова частка коштів в розмірі 77% розщеплюється за природний газ. Аналогічна картина була по оплаті за електричну енергію, але  Постановою КМУ від 29.04.2020р №314 витрати на електроенергію включені в розрахунок розподілу коштів .Надіємось ,що відсоток розподілу коштів по реєстру для підприємства збільшиться.  </w:t>
      </w:r>
    </w:p>
    <w:p w:rsidR="007277FB" w:rsidRDefault="007277FB" w:rsidP="007277FB">
      <w:pPr>
        <w:ind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Протягом опалювального періоду 2019-2020 років підприємство забезпечувало стабільну подачу та відпуск теплової енергії споживачам міста Нововолинська та </w:t>
      </w:r>
      <w:proofErr w:type="spellStart"/>
      <w:r>
        <w:rPr>
          <w:rStyle w:val="mediumtext1"/>
          <w:color w:val="000000"/>
          <w:sz w:val="30"/>
          <w:szCs w:val="30"/>
          <w:shd w:val="clear" w:color="auto" w:fill="FFFFFF"/>
        </w:rPr>
        <w:t>сел.Благодатне</w:t>
      </w:r>
      <w:proofErr w:type="spellEnd"/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в повному обсязі. Теплоенергетичне обладнання працювало в штатному режимі без зупинок та збоїв, що свідчить про належну підготовку та поточне обслуговування кваліфікованим персоналом. В </w:t>
      </w:r>
      <w:proofErr w:type="spellStart"/>
      <w:r>
        <w:rPr>
          <w:rStyle w:val="mediumtext1"/>
          <w:color w:val="000000"/>
          <w:sz w:val="30"/>
          <w:szCs w:val="30"/>
          <w:shd w:val="clear" w:color="auto" w:fill="FFFFFF"/>
        </w:rPr>
        <w:t>міжопалювальний</w:t>
      </w:r>
      <w:proofErr w:type="spellEnd"/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період 2019 року  також проведено повний комплекс робіт з підготовки  підприємства до роботи в зимовий період. На виконання заходів по підготовці до опалювального періоду 2019-2020 років використано власних коштів підприємства в сумі 3064,9 </w:t>
      </w:r>
      <w:proofErr w:type="spellStart"/>
      <w:r>
        <w:rPr>
          <w:rStyle w:val="mediumtext1"/>
          <w:color w:val="000000"/>
          <w:sz w:val="30"/>
          <w:szCs w:val="30"/>
          <w:shd w:val="clear" w:color="auto" w:fill="FFFFFF"/>
        </w:rPr>
        <w:t>тис.грн</w:t>
      </w:r>
      <w:proofErr w:type="spellEnd"/>
      <w:r>
        <w:rPr>
          <w:rStyle w:val="mediumtext1"/>
          <w:color w:val="000000"/>
          <w:sz w:val="30"/>
          <w:szCs w:val="30"/>
          <w:shd w:val="clear" w:color="auto" w:fill="FFFFFF"/>
        </w:rPr>
        <w:t>.</w:t>
      </w:r>
    </w:p>
    <w:p w:rsidR="007277FB" w:rsidRDefault="007277FB" w:rsidP="007277FB">
      <w:pPr>
        <w:ind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lastRenderedPageBreak/>
        <w:t xml:space="preserve">  На сьогодні план заходів з підготовки до роботи в зимовий період виконано на  30%, а до початку опалювального періоду буде виконано в повному обсязі.</w:t>
      </w:r>
    </w:p>
    <w:p w:rsidR="007277FB" w:rsidRDefault="007277FB" w:rsidP="007277FB">
      <w:pPr>
        <w:ind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Також на котельні 15-го Мікрорайону ведуться будівельні роботи для продовження реалізації проекту “Капітальний ремонт котельні 15-го М-</w:t>
      </w:r>
      <w:proofErr w:type="spellStart"/>
      <w:r>
        <w:rPr>
          <w:rStyle w:val="mediumtext1"/>
          <w:color w:val="000000"/>
          <w:sz w:val="30"/>
          <w:szCs w:val="30"/>
          <w:shd w:val="clear" w:color="auto" w:fill="FFFFFF"/>
        </w:rPr>
        <w:t>ну”.З</w:t>
      </w:r>
      <w:proofErr w:type="spellEnd"/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міського бюджету на виконання цього проекту виділено в 2020р</w:t>
      </w:r>
    </w:p>
    <w:p w:rsidR="007277FB" w:rsidRDefault="007277FB" w:rsidP="007277FB">
      <w:pPr>
        <w:ind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-1632,92тис.грн.Крім цього кошти інвестиційної програми в сумі-3280,78тис.грн   </w:t>
      </w:r>
    </w:p>
    <w:p w:rsidR="007277FB" w:rsidRDefault="007277FB" w:rsidP="007277FB">
      <w:pPr>
        <w:ind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В 2019році з метою проведення  модернізації обладнання підприємства були залучені кошти міського бюджету  в сумі -1900тис.грн. і виконано наступні  роботи: </w:t>
      </w:r>
    </w:p>
    <w:p w:rsidR="007277FB" w:rsidRDefault="007277FB" w:rsidP="007277FB">
      <w:pPr>
        <w:widowControl w:val="0"/>
        <w:numPr>
          <w:ilvl w:val="1"/>
          <w:numId w:val="1"/>
        </w:numPr>
        <w:suppressAutoHyphens/>
        <w:ind w:left="0"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>Закупівля цифрового корелятора (для пошуку витоків теплоносія) -на суму-480тис.грн.</w:t>
      </w:r>
    </w:p>
    <w:p w:rsidR="007277FB" w:rsidRDefault="007277FB" w:rsidP="007277FB">
      <w:pPr>
        <w:widowControl w:val="0"/>
        <w:numPr>
          <w:ilvl w:val="1"/>
          <w:numId w:val="1"/>
        </w:numPr>
        <w:suppressAutoHyphens/>
        <w:ind w:left="0" w:firstLine="540"/>
        <w:jc w:val="both"/>
        <w:rPr>
          <w:rStyle w:val="mediumtext1"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Реалізація проекту “Капітальний ремонт (заміна котлів) котельні 15-го Мікрорайону по вул.Луцькій,25-Г з закупівлею котла КВГ-7,56, </w:t>
      </w:r>
      <w:proofErr w:type="spellStart"/>
      <w:r>
        <w:rPr>
          <w:rStyle w:val="mediumtext1"/>
          <w:color w:val="000000"/>
          <w:sz w:val="30"/>
          <w:szCs w:val="30"/>
          <w:shd w:val="clear" w:color="auto" w:fill="FFFFFF"/>
        </w:rPr>
        <w:t>пальникових</w:t>
      </w:r>
      <w:proofErr w:type="spellEnd"/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пристроїв СНТ-33, димососа  на суму-1420,0тис.грн.</w:t>
      </w:r>
    </w:p>
    <w:p w:rsidR="007277FB" w:rsidRDefault="007277FB" w:rsidP="007277FB">
      <w:pPr>
        <w:ind w:firstLine="540"/>
        <w:jc w:val="both"/>
        <w:rPr>
          <w:rStyle w:val="mediumtext1"/>
          <w:iCs/>
          <w:color w:val="000000"/>
          <w:sz w:val="30"/>
          <w:szCs w:val="30"/>
          <w:shd w:val="clear" w:color="auto" w:fill="FFFFFF"/>
        </w:rPr>
      </w:pPr>
      <w:r>
        <w:rPr>
          <w:rStyle w:val="mediumtext1"/>
          <w:color w:val="000000"/>
          <w:sz w:val="30"/>
          <w:szCs w:val="30"/>
          <w:shd w:val="clear" w:color="auto" w:fill="FFFFFF"/>
        </w:rPr>
        <w:t xml:space="preserve">                        </w:t>
      </w:r>
    </w:p>
    <w:p w:rsidR="007277FB" w:rsidRDefault="007277FB" w:rsidP="007277FB">
      <w:pPr>
        <w:ind w:firstLine="540"/>
        <w:jc w:val="both"/>
        <w:rPr>
          <w:rStyle w:val="mediumtext1"/>
          <w:iCs/>
          <w:color w:val="000000"/>
          <w:sz w:val="30"/>
          <w:szCs w:val="30"/>
          <w:shd w:val="clear" w:color="auto" w:fill="FFFFFF"/>
        </w:rPr>
      </w:pPr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           За рахунок проведення енергозберігаючих засобів зекономлено-1553,8тис.куб.метрів природного газу.</w:t>
      </w:r>
    </w:p>
    <w:p w:rsidR="007277FB" w:rsidRDefault="007277FB" w:rsidP="007277FB">
      <w:pPr>
        <w:ind w:firstLine="540"/>
        <w:jc w:val="both"/>
        <w:rPr>
          <w:rStyle w:val="mediumtext1"/>
          <w:iCs/>
          <w:color w:val="000000"/>
          <w:sz w:val="30"/>
          <w:szCs w:val="30"/>
          <w:shd w:val="clear" w:color="auto" w:fill="FFFFFF"/>
        </w:rPr>
      </w:pPr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    3.Також на кошти міського бюджету в 2019році  встановлено 42 будинкових теплових лічильники та 4 замінено на суму-1975,9тис.грн. Додатково на ці цілі міська рада ще виділила в 2020році  кошти в сумі 500,0 </w:t>
      </w:r>
      <w:proofErr w:type="spellStart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тис.грн</w:t>
      </w:r>
      <w:proofErr w:type="spellEnd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,  на які  </w:t>
      </w:r>
      <w:proofErr w:type="spellStart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підприємиство</w:t>
      </w:r>
      <w:proofErr w:type="spellEnd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встановило 11лічильників і планується встановити ще 10 лічильників на суму-482,1тис.грнивень.Відсоток оснащеності приладами обліку теплової </w:t>
      </w:r>
      <w:proofErr w:type="spellStart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енегії</w:t>
      </w:r>
      <w:proofErr w:type="spellEnd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на 01.06.2020р.-77,04%. 302 будинки уже обладнані приладами обліку теплової енергії.</w:t>
      </w:r>
    </w:p>
    <w:p w:rsidR="007277FB" w:rsidRDefault="007277FB" w:rsidP="007277FB">
      <w:pPr>
        <w:ind w:firstLine="540"/>
        <w:jc w:val="both"/>
        <w:rPr>
          <w:rStyle w:val="mediumtext1"/>
          <w:iCs/>
          <w:color w:val="000000"/>
          <w:sz w:val="30"/>
          <w:szCs w:val="30"/>
          <w:shd w:val="clear" w:color="auto" w:fill="FFFFFF"/>
        </w:rPr>
      </w:pPr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     Слід відмітити, що на всі роботи підприємством самостійно виготовляється проектно-кошторисна документація, що значно спрощує і пришвидшує документальне оформлення робіт, а також зменшує фінансове навантаження. </w:t>
      </w:r>
    </w:p>
    <w:p w:rsidR="007277FB" w:rsidRDefault="007277FB" w:rsidP="007277FB">
      <w:pPr>
        <w:ind w:firstLine="540"/>
        <w:jc w:val="both"/>
        <w:rPr>
          <w:rFonts w:eastAsia="Lucida Sans Unicode" w:cs="Mangal"/>
        </w:rPr>
      </w:pPr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Крім виробництва, транспортування та постачання теплової енергії, підприємством здійснюється великий фронт робіт по обслуговуванню </w:t>
      </w:r>
      <w:proofErr w:type="spellStart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внутрішньобудинкових</w:t>
      </w:r>
      <w:proofErr w:type="spellEnd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 xml:space="preserve"> мереж централізованого опалення та гарячого водопостачання. Тобто КП “</w:t>
      </w:r>
      <w:proofErr w:type="spellStart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Нововолинськтеплокомуненерго</w:t>
      </w:r>
      <w:proofErr w:type="spellEnd"/>
      <w:r>
        <w:rPr>
          <w:rStyle w:val="mediumtext1"/>
          <w:iCs/>
          <w:color w:val="000000"/>
          <w:sz w:val="30"/>
          <w:szCs w:val="30"/>
          <w:shd w:val="clear" w:color="auto" w:fill="FFFFFF"/>
        </w:rPr>
        <w:t>” в повній мірі контролює процес як виробництва так і постачання теплової енергії безпосередньо до споживача. Надано населенню послуг за  ВБСТ в 2019році -1795,7тис.гривень.</w:t>
      </w:r>
    </w:p>
    <w:p w:rsidR="007277FB" w:rsidRDefault="007277FB" w:rsidP="007277FB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З метою економії коштів та згоди колективу підприємство згідно наказу від 10.04.2020р. №55-вк  працює неповний робочий тиждень тривалістю 4(чотири) дні зі збереженням трудових функцій  та оплатою праці </w:t>
      </w:r>
      <w:proofErr w:type="spellStart"/>
      <w:r>
        <w:rPr>
          <w:sz w:val="30"/>
          <w:szCs w:val="30"/>
        </w:rPr>
        <w:t>пропорційно</w:t>
      </w:r>
      <w:proofErr w:type="spellEnd"/>
      <w:r>
        <w:rPr>
          <w:sz w:val="30"/>
          <w:szCs w:val="30"/>
        </w:rPr>
        <w:t xml:space="preserve"> фактично відпрацьованому часу.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</w:t>
      </w:r>
      <w:r>
        <w:rPr>
          <w:color w:val="000000"/>
          <w:sz w:val="30"/>
          <w:szCs w:val="30"/>
          <w:shd w:val="clear" w:color="auto" w:fill="FFFFFF"/>
        </w:rPr>
        <w:t xml:space="preserve">      Станом на 01.06.2020 р на абонентському обслуговуванню підприємства знаходиться 462 будинки, по яких відкрито 14286 особових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рахунків.З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них населення-13890 особових рахунків.</w:t>
      </w:r>
    </w:p>
    <w:p w:rsidR="007277FB" w:rsidRDefault="007277FB" w:rsidP="007277FB">
      <w:pPr>
        <w:tabs>
          <w:tab w:val="left" w:pos="8073"/>
        </w:tabs>
        <w:ind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    Дебіторська заборгованість  населення станом на 01.06.2020р. перед КП «</w:t>
      </w:r>
      <w:proofErr w:type="spellStart"/>
      <w:r>
        <w:rPr>
          <w:sz w:val="30"/>
          <w:szCs w:val="30"/>
        </w:rPr>
        <w:t>Нововолинськтеплокомуненерго</w:t>
      </w:r>
      <w:proofErr w:type="spellEnd"/>
      <w:r>
        <w:rPr>
          <w:sz w:val="30"/>
          <w:szCs w:val="30"/>
        </w:rPr>
        <w:t xml:space="preserve">» за </w:t>
      </w:r>
      <w:r>
        <w:rPr>
          <w:iCs/>
          <w:sz w:val="30"/>
          <w:szCs w:val="30"/>
        </w:rPr>
        <w:t xml:space="preserve"> послуги опалення та гарячого водопостачання</w:t>
      </w:r>
      <w:r>
        <w:rPr>
          <w:sz w:val="30"/>
          <w:szCs w:val="30"/>
        </w:rPr>
        <w:t xml:space="preserve">  становить 32000,0 </w:t>
      </w:r>
      <w:proofErr w:type="spellStart"/>
      <w:r>
        <w:rPr>
          <w:sz w:val="30"/>
          <w:szCs w:val="30"/>
        </w:rPr>
        <w:t>тис.грн</w:t>
      </w:r>
      <w:proofErr w:type="spellEnd"/>
      <w:r>
        <w:rPr>
          <w:sz w:val="30"/>
          <w:szCs w:val="30"/>
        </w:rPr>
        <w:t xml:space="preserve">., що </w:t>
      </w:r>
      <w:proofErr w:type="spellStart"/>
      <w:r>
        <w:rPr>
          <w:sz w:val="30"/>
          <w:szCs w:val="30"/>
        </w:rPr>
        <w:t>пов</w:t>
      </w:r>
      <w:proofErr w:type="spellEnd"/>
      <w:r>
        <w:rPr>
          <w:sz w:val="30"/>
          <w:szCs w:val="30"/>
          <w:lang w:val="ru-RU"/>
        </w:rPr>
        <w:t>’</w:t>
      </w:r>
      <w:proofErr w:type="spellStart"/>
      <w:r>
        <w:rPr>
          <w:sz w:val="30"/>
          <w:szCs w:val="30"/>
        </w:rPr>
        <w:t>язано</w:t>
      </w:r>
      <w:proofErr w:type="spellEnd"/>
      <w:r>
        <w:rPr>
          <w:sz w:val="30"/>
          <w:szCs w:val="30"/>
        </w:rPr>
        <w:t xml:space="preserve"> із зменшенням рівня оплати населенням за послуги надані підприємством. </w:t>
      </w:r>
    </w:p>
    <w:p w:rsidR="007277FB" w:rsidRDefault="007277FB" w:rsidP="007277FB">
      <w:pPr>
        <w:ind w:left="-5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</w:t>
      </w:r>
    </w:p>
    <w:p w:rsidR="007277FB" w:rsidRDefault="007277FB" w:rsidP="007277FB">
      <w:pPr>
        <w:ind w:left="-5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На відміну від категорій “Бюджетні установи” та “Інші споживачі”, до фізичних осіб ми не можемо застосувати нарахування пені. І лояльна політика держави, яка здійснювала списання боргів за рахунок колишніх заощаджень та реструктуризацію заборгованості, а зараз ще в період карантину відповідно до Постанови КМУ від 11.03.2020р. №211” Про запобігання поширенню на території України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коронавірусу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СО</w:t>
      </w:r>
      <w:r>
        <w:rPr>
          <w:color w:val="000000"/>
          <w:sz w:val="30"/>
          <w:szCs w:val="30"/>
          <w:shd w:val="clear" w:color="auto" w:fill="FFFFFF"/>
          <w:lang w:val="en-US"/>
        </w:rPr>
        <w:t>VID</w:t>
      </w:r>
      <w:r>
        <w:rPr>
          <w:color w:val="000000"/>
          <w:sz w:val="30"/>
          <w:szCs w:val="30"/>
          <w:shd w:val="clear" w:color="auto" w:fill="FFFFFF"/>
        </w:rPr>
        <w:t>-19” та інших регуляторних актів -</w:t>
      </w:r>
    </w:p>
    <w:p w:rsidR="007277FB" w:rsidRDefault="007277FB" w:rsidP="007277FB">
      <w:pPr>
        <w:ind w:left="-5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не спонукають боржника до своєчасної оплати.  Звичайно ми не сидимо склавши руки, але жорсткіші заходи з боку держави були б в даному питанні дуже доречні.    </w:t>
      </w:r>
    </w:p>
    <w:p w:rsidR="007277FB" w:rsidRDefault="007277FB" w:rsidP="007277FB">
      <w:pPr>
        <w:ind w:left="20" w:hanging="360"/>
        <w:jc w:val="both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Оформлення позовів до суду застосовується, як правило, до тих боржників термін заборгованості яких більше 2-х років. Але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сьогодні,.на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період карантину, і ці заходи ми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приміняти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не в змозі. </w:t>
      </w:r>
    </w:p>
    <w:p w:rsidR="007277FB" w:rsidRDefault="007277FB" w:rsidP="007277FB">
      <w:pPr>
        <w:pStyle w:val="a4"/>
        <w:tabs>
          <w:tab w:val="left" w:pos="720"/>
          <w:tab w:val="left" w:pos="900"/>
        </w:tabs>
        <w:spacing w:before="0" w:after="0"/>
        <w:ind w:hanging="360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    До 7% боржників погоджуються укласти договір на погашення заборгованості до судового розгляду, частково або повністю сплачуючи борг. Безумовною проблемою залишається виконання задоволених судом позовних вимог, в першу чергу через неспроможність малозабезпечених споживачів погасити суму боргу, в другу через пасивність судових виконавців. </w:t>
      </w:r>
    </w:p>
    <w:p w:rsidR="007277FB" w:rsidRDefault="007277FB" w:rsidP="007277FB">
      <w:pPr>
        <w:ind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Аналізуючи динаміку щомісячної заборгованості  впродовж 2019-2020р. бачимо певну закономірну циклічність, тобто, зростання боргу в опалювальний період (листопад-березень) та його спад у між опалювальний період (квітень – жовтень). </w:t>
      </w:r>
    </w:p>
    <w:p w:rsidR="007277FB" w:rsidRDefault="007277FB" w:rsidP="007277FB">
      <w:pPr>
        <w:ind w:hanging="360"/>
        <w:jc w:val="both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З метою </w:t>
      </w:r>
      <w:proofErr w:type="spellStart"/>
      <w:r>
        <w:rPr>
          <w:color w:val="000000"/>
          <w:sz w:val="30"/>
          <w:szCs w:val="30"/>
          <w:shd w:val="clear" w:color="auto" w:fill="FFFFFF"/>
          <w:lang w:val="ru-RU"/>
        </w:rPr>
        <w:t>погашення</w:t>
      </w:r>
      <w:proofErr w:type="spellEnd"/>
      <w:r>
        <w:rPr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ru-RU"/>
        </w:rPr>
        <w:t>заборгованості</w:t>
      </w:r>
      <w:proofErr w:type="spellEnd"/>
      <w:r>
        <w:rPr>
          <w:color w:val="000000"/>
          <w:sz w:val="30"/>
          <w:szCs w:val="30"/>
          <w:shd w:val="clear" w:color="auto" w:fill="FFFFFF"/>
          <w:lang w:val="ru-RU"/>
        </w:rPr>
        <w:t xml:space="preserve"> </w:t>
      </w:r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з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кожним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із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боржників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проводиться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індивідуальна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робота з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урахуванням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його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</w:t>
      </w:r>
      <w:proofErr w:type="spellStart"/>
      <w:r>
        <w:rPr>
          <w:iCs/>
          <w:color w:val="000000"/>
          <w:sz w:val="30"/>
          <w:szCs w:val="30"/>
          <w:shd w:val="clear" w:color="auto" w:fill="FFFFFF"/>
          <w:lang w:val="ru-RU"/>
        </w:rPr>
        <w:t>матеріального</w:t>
      </w:r>
      <w:proofErr w:type="spellEnd"/>
      <w:r>
        <w:rPr>
          <w:iCs/>
          <w:color w:val="000000"/>
          <w:sz w:val="30"/>
          <w:szCs w:val="30"/>
          <w:shd w:val="clear" w:color="auto" w:fill="FFFFFF"/>
          <w:lang w:val="ru-RU"/>
        </w:rPr>
        <w:t xml:space="preserve"> стану.</w:t>
      </w:r>
      <w:r>
        <w:rPr>
          <w:sz w:val="30"/>
          <w:szCs w:val="30"/>
        </w:rPr>
        <w:t xml:space="preserve">    Впродовж всього року боржникам розносять попередження  про наявність заборгованості, регулярно відслідковується дисципліна оплати.   </w:t>
      </w:r>
    </w:p>
    <w:p w:rsidR="007277FB" w:rsidRDefault="007277FB" w:rsidP="007277FB">
      <w:pPr>
        <w:tabs>
          <w:tab w:val="left" w:pos="360"/>
          <w:tab w:val="left" w:pos="720"/>
          <w:tab w:val="left" w:pos="900"/>
        </w:tabs>
        <w:ind w:left="-1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       Для поліпшення рівня  платежів основна увага приділяється індивідуальній роботі з боржниками. Постійно здійснюється моніторинг заборгованості. Стан оплати кожного абонента відслідковується за базою даних. Якщо абонент затримує </w:t>
      </w:r>
      <w:proofErr w:type="spellStart"/>
      <w:r>
        <w:rPr>
          <w:sz w:val="30"/>
          <w:szCs w:val="30"/>
        </w:rPr>
        <w:t>проплату</w:t>
      </w:r>
      <w:proofErr w:type="spellEnd"/>
      <w:r>
        <w:rPr>
          <w:sz w:val="30"/>
          <w:szCs w:val="30"/>
        </w:rPr>
        <w:t xml:space="preserve"> на протязі більше 2 місяців до нього застосовуються  заходи інформаційно-попереджувального характеру.  При цьому слід зазначити, що ці заходи є різнопланові. Адже для досягнення результату ми намагаємось постійно впроваджувати нові методи роботи з боржником. 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7277FB" w:rsidRDefault="007277FB" w:rsidP="007277FB">
      <w:pPr>
        <w:ind w:left="1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          Однією із форм роботи із боржниками, що практикується на підприємстві є укладання договорів на погашення заборгованості. Такий договір укладається з абонентом на суму боргу, який утворився на момент укладення договору. І при підписанні договору боржник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зобов”язаний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частково сплатити до 30% заборгованості.</w:t>
      </w:r>
    </w:p>
    <w:p w:rsidR="007277FB" w:rsidRDefault="007277FB" w:rsidP="007277FB">
      <w:pPr>
        <w:ind w:left="1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ab/>
      </w:r>
      <w:r>
        <w:rPr>
          <w:color w:val="000000"/>
          <w:sz w:val="30"/>
          <w:szCs w:val="30"/>
          <w:shd w:val="clear" w:color="auto" w:fill="FFFFFF"/>
        </w:rPr>
        <w:tab/>
        <w:t xml:space="preserve"> Звичайно проблем в цьому питанні ще багато, але ми намагаємось їх вирішувати. Хоча, якщо положити руку на серце то слід сказати, невже ми повинні ходити по квартирах з протягнутою рукою і просити оплатити борги. Наш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обов”язок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подати тепло в квартири, а споживача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обов”язок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оплатити послуги, при чому оплатити вчасно.   </w:t>
      </w:r>
    </w:p>
    <w:p w:rsidR="007277FB" w:rsidRDefault="007277FB" w:rsidP="007277FB">
      <w:pPr>
        <w:ind w:left="10" w:hanging="36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            По закінченню карантину нас чекає нова клопітка робота -заключення нових угод, відповідно до Закону України “Про житлово-комунальні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послуги”.Наразі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дія закону призупинена.  </w:t>
      </w: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І на останок хочу сказати - КП “</w:t>
      </w:r>
      <w:proofErr w:type="spellStart"/>
      <w:r>
        <w:rPr>
          <w:color w:val="000000"/>
          <w:sz w:val="30"/>
          <w:szCs w:val="30"/>
          <w:shd w:val="clear" w:color="auto" w:fill="FFFFFF"/>
        </w:rPr>
        <w:t>Нововолинськтеплокомуненерго</w:t>
      </w:r>
      <w:proofErr w:type="spellEnd"/>
      <w:r>
        <w:rPr>
          <w:color w:val="000000"/>
          <w:sz w:val="30"/>
          <w:szCs w:val="30"/>
          <w:shd w:val="clear" w:color="auto" w:fill="FFFFFF"/>
        </w:rPr>
        <w:t>” є суб’єктом природної монополії в сфері реалізації послуг централізованого опалення та підігріву води в місті Нововолинську та селищі Благодатне і входить до “Переліку підприємств, що займають монопольне становище у Волинській області”.</w:t>
      </w:r>
    </w:p>
    <w:p w:rsidR="007277FB" w:rsidRDefault="007277FB" w:rsidP="007277FB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 Адміністративні та фінансові відділи підприємства підпорядковуються безпосередньо директору, а  виробничі та технічні служби – головному інженеру. Чинна організаційна структура КП “</w:t>
      </w:r>
      <w:proofErr w:type="spellStart"/>
      <w:r>
        <w:rPr>
          <w:sz w:val="30"/>
          <w:szCs w:val="30"/>
        </w:rPr>
        <w:t>Нововолинськтеплокомуненерго</w:t>
      </w:r>
      <w:proofErr w:type="spellEnd"/>
      <w:r>
        <w:rPr>
          <w:sz w:val="30"/>
          <w:szCs w:val="30"/>
        </w:rPr>
        <w:t xml:space="preserve">” і розподіл функціональних обов’язків на даний час повною мірою відповідають його цілям, характеру роботи та забезпечують надання послуг теплопостачання в повному об’ємі та своєчасно. </w:t>
      </w:r>
    </w:p>
    <w:p w:rsidR="007277FB" w:rsidRDefault="007277FB" w:rsidP="007277FB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7277FB" w:rsidRDefault="007277FB" w:rsidP="007277FB">
      <w:pPr>
        <w:ind w:left="10" w:hanging="360"/>
        <w:jc w:val="both"/>
        <w:rPr>
          <w:rFonts w:cs="Mangal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                                Директор                               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А.М.Гаврилюк</w:t>
      </w:r>
      <w:proofErr w:type="spellEnd"/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30"/>
          <w:szCs w:val="30"/>
        </w:rPr>
      </w:pPr>
    </w:p>
    <w:p w:rsidR="007277FB" w:rsidRDefault="007277FB" w:rsidP="007277FB">
      <w:pPr>
        <w:ind w:left="10" w:hanging="360"/>
        <w:jc w:val="both"/>
        <w:rPr>
          <w:sz w:val="24"/>
          <w:szCs w:val="24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С.В.Жура</w:t>
      </w:r>
      <w:proofErr w:type="spellEnd"/>
    </w:p>
    <w:p w:rsidR="003C4E3C" w:rsidRDefault="003C4E3C"/>
    <w:sectPr w:rsidR="003C4E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/>
        <w:b w:val="0"/>
        <w:bCs w:val="0"/>
        <w:iCs/>
        <w:color w:val="00000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4A"/>
    <w:rsid w:val="003C4E3C"/>
    <w:rsid w:val="00423272"/>
    <w:rsid w:val="007277FB"/>
    <w:rsid w:val="00A46B83"/>
    <w:rsid w:val="00A71F1F"/>
    <w:rsid w:val="00EE251E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84AB"/>
  <w15:chartTrackingRefBased/>
  <w15:docId w15:val="{852466D6-77AE-406B-854F-86AD605C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251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EE2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EE251E"/>
    <w:pPr>
      <w:keepNext/>
      <w:autoSpaceDE w:val="0"/>
      <w:autoSpaceDN w:val="0"/>
      <w:outlineLvl w:val="1"/>
    </w:pPr>
    <w:rPr>
      <w:b/>
      <w:bCs/>
    </w:rPr>
  </w:style>
  <w:style w:type="paragraph" w:customStyle="1" w:styleId="4">
    <w:name w:val="заголовок 4"/>
    <w:basedOn w:val="a"/>
    <w:next w:val="a"/>
    <w:rsid w:val="00EE251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a3">
    <w:name w:val="Заголовок"/>
    <w:basedOn w:val="a"/>
    <w:next w:val="a"/>
    <w:rsid w:val="00EE251E"/>
    <w:pPr>
      <w:suppressAutoHyphens/>
      <w:autoSpaceDE w:val="0"/>
      <w:ind w:left="5670" w:hanging="5670"/>
      <w:jc w:val="center"/>
    </w:pPr>
    <w:rPr>
      <w:b/>
      <w:bCs/>
      <w:sz w:val="22"/>
      <w:szCs w:val="22"/>
      <w:lang w:eastAsia="zh-CN"/>
    </w:rPr>
  </w:style>
  <w:style w:type="paragraph" w:customStyle="1" w:styleId="CorpsdetexteSeureca">
    <w:name w:val="Corps de texte Seureca"/>
    <w:basedOn w:val="a"/>
    <w:rsid w:val="007277FB"/>
    <w:pPr>
      <w:widowControl w:val="0"/>
      <w:suppressAutoHyphens/>
      <w:spacing w:before="160" w:line="300" w:lineRule="exact"/>
      <w:ind w:left="1418"/>
      <w:jc w:val="both"/>
    </w:pPr>
    <w:rPr>
      <w:rFonts w:ascii="Arial" w:eastAsia="Calibri" w:hAnsi="Arial" w:cs="Arial"/>
      <w:kern w:val="2"/>
      <w:lang w:val="en-GB" w:eastAsia="hi-IN" w:bidi="hi-IN"/>
    </w:rPr>
  </w:style>
  <w:style w:type="paragraph" w:customStyle="1" w:styleId="a4">
    <w:name w:val="Обычный (веб)"/>
    <w:basedOn w:val="a"/>
    <w:rsid w:val="007277FB"/>
    <w:pPr>
      <w:widowControl w:val="0"/>
      <w:suppressAutoHyphens/>
      <w:spacing w:before="280" w:after="280"/>
    </w:pPr>
    <w:rPr>
      <w:rFonts w:eastAsia="Lucida Sans Unicode" w:cs="Mangal"/>
      <w:color w:val="000000"/>
      <w:kern w:val="2"/>
      <w:sz w:val="24"/>
      <w:szCs w:val="24"/>
      <w:lang w:eastAsia="hi-IN" w:bidi="hi-IN"/>
    </w:rPr>
  </w:style>
  <w:style w:type="character" w:customStyle="1" w:styleId="mediumtext1">
    <w:name w:val="medium_text1"/>
    <w:rsid w:val="007277F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8554</Words>
  <Characters>4876</Characters>
  <Application>Microsoft Office Word</Application>
  <DocSecurity>0</DocSecurity>
  <Lines>40</Lines>
  <Paragraphs>26</Paragraphs>
  <ScaleCrop>false</ScaleCrop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4</cp:revision>
  <dcterms:created xsi:type="dcterms:W3CDTF">2020-06-15T09:47:00Z</dcterms:created>
  <dcterms:modified xsi:type="dcterms:W3CDTF">2020-06-17T08:08:00Z</dcterms:modified>
</cp:coreProperties>
</file>