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A7" w:rsidRDefault="001A13A7" w:rsidP="001A13A7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293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3A7" w:rsidRPr="00AE7D77" w:rsidRDefault="001A13A7" w:rsidP="001A13A7">
      <w:pPr>
        <w:pStyle w:val="a5"/>
        <w:rPr>
          <w:sz w:val="16"/>
          <w:szCs w:val="16"/>
        </w:rPr>
      </w:pPr>
    </w:p>
    <w:p w:rsidR="001A13A7" w:rsidRPr="00263E90" w:rsidRDefault="001A13A7" w:rsidP="001A13A7">
      <w:pPr>
        <w:pStyle w:val="a5"/>
        <w:rPr>
          <w:sz w:val="28"/>
          <w:szCs w:val="28"/>
        </w:rPr>
      </w:pPr>
      <w:r w:rsidRPr="00263E90">
        <w:rPr>
          <w:sz w:val="28"/>
          <w:szCs w:val="28"/>
        </w:rPr>
        <w:t>У К Р А Ї Н А</w:t>
      </w:r>
    </w:p>
    <w:p w:rsidR="001A13A7" w:rsidRDefault="001A13A7" w:rsidP="001A13A7">
      <w:pPr>
        <w:rPr>
          <w:sz w:val="10"/>
          <w:szCs w:val="10"/>
        </w:rPr>
      </w:pPr>
    </w:p>
    <w:p w:rsidR="001A13A7" w:rsidRDefault="001A13A7" w:rsidP="001A13A7">
      <w:pPr>
        <w:pStyle w:val="a5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A13A7" w:rsidRDefault="001A13A7" w:rsidP="001A13A7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A13A7" w:rsidRDefault="001A13A7" w:rsidP="001A13A7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1A13A7" w:rsidRPr="001A13A7" w:rsidRDefault="001A13A7" w:rsidP="001A13A7"/>
    <w:p w:rsidR="001A13A7" w:rsidRPr="001C5A5B" w:rsidRDefault="001A13A7" w:rsidP="001A13A7">
      <w:pPr>
        <w:spacing w:before="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</w:t>
      </w:r>
      <w:r w:rsidRPr="001C5A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18 березня</w:t>
      </w:r>
      <w:r w:rsidRPr="001C5A5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2021</w:t>
      </w:r>
      <w:r w:rsidRPr="001C5A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року</w:t>
      </w:r>
      <w:r w:rsidRPr="001C5A5B">
        <w:rPr>
          <w:sz w:val="28"/>
          <w:szCs w:val="28"/>
          <w:u w:val="single"/>
        </w:rPr>
        <w:t xml:space="preserve"> №</w:t>
      </w:r>
      <w:r w:rsidR="00753EA6">
        <w:rPr>
          <w:sz w:val="28"/>
          <w:szCs w:val="28"/>
          <w:u w:val="single"/>
        </w:rPr>
        <w:t>78</w:t>
      </w:r>
      <w:r w:rsidRPr="001C5A5B">
        <w:rPr>
          <w:sz w:val="28"/>
          <w:szCs w:val="28"/>
          <w:u w:val="single"/>
        </w:rPr>
        <w:t xml:space="preserve"> </w:t>
      </w:r>
    </w:p>
    <w:p w:rsidR="001A13A7" w:rsidRDefault="001A13A7" w:rsidP="001A13A7">
      <w:pPr>
        <w:rPr>
          <w:sz w:val="28"/>
          <w:szCs w:val="28"/>
        </w:rPr>
      </w:pPr>
      <w:r w:rsidRPr="001C5A5B">
        <w:rPr>
          <w:sz w:val="28"/>
          <w:szCs w:val="28"/>
        </w:rPr>
        <w:t>м. Нововолинськ</w:t>
      </w:r>
    </w:p>
    <w:p w:rsidR="001A13A7" w:rsidRPr="001C5A5B" w:rsidRDefault="001A13A7" w:rsidP="001A13A7">
      <w:pPr>
        <w:rPr>
          <w:sz w:val="28"/>
          <w:szCs w:val="28"/>
        </w:rPr>
      </w:pPr>
    </w:p>
    <w:p w:rsidR="001A13A7" w:rsidRPr="001C5A5B" w:rsidRDefault="001A13A7" w:rsidP="001A13A7">
      <w:pPr>
        <w:pStyle w:val="a3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 xml:space="preserve">Про </w:t>
      </w:r>
      <w:r>
        <w:rPr>
          <w:b w:val="0"/>
          <w:szCs w:val="28"/>
        </w:rPr>
        <w:t xml:space="preserve">законність встановлення малих архітектурних форм, </w:t>
      </w:r>
    </w:p>
    <w:p w:rsidR="001A13A7" w:rsidRDefault="001A13A7" w:rsidP="001A13A7">
      <w:pPr>
        <w:pStyle w:val="a3"/>
        <w:spacing w:before="0"/>
        <w:rPr>
          <w:b w:val="0"/>
          <w:szCs w:val="28"/>
        </w:rPr>
      </w:pPr>
      <w:r>
        <w:rPr>
          <w:b w:val="0"/>
          <w:szCs w:val="28"/>
        </w:rPr>
        <w:t xml:space="preserve">тимчасових споруд, металевих та дерев’яних конструкцій </w:t>
      </w:r>
    </w:p>
    <w:p w:rsidR="001A13A7" w:rsidRPr="001C5A5B" w:rsidRDefault="001A13A7" w:rsidP="001A13A7">
      <w:pPr>
        <w:pStyle w:val="a3"/>
        <w:spacing w:before="0"/>
        <w:rPr>
          <w:b w:val="0"/>
          <w:szCs w:val="28"/>
        </w:rPr>
      </w:pPr>
      <w:r>
        <w:rPr>
          <w:b w:val="0"/>
          <w:szCs w:val="28"/>
        </w:rPr>
        <w:t xml:space="preserve">у Нововолинській </w:t>
      </w:r>
      <w:r w:rsidRPr="006F1782">
        <w:rPr>
          <w:b w:val="0"/>
          <w:szCs w:val="28"/>
        </w:rPr>
        <w:t>територіальн</w:t>
      </w:r>
      <w:r>
        <w:rPr>
          <w:b w:val="0"/>
          <w:szCs w:val="28"/>
        </w:rPr>
        <w:t xml:space="preserve">ій громаді </w:t>
      </w:r>
    </w:p>
    <w:p w:rsidR="001A13A7" w:rsidRDefault="001A13A7" w:rsidP="001A13A7">
      <w:pPr>
        <w:ind w:firstLine="708"/>
        <w:jc w:val="both"/>
        <w:rPr>
          <w:sz w:val="28"/>
          <w:szCs w:val="28"/>
        </w:rPr>
      </w:pPr>
    </w:p>
    <w:p w:rsidR="001A13A7" w:rsidRDefault="001A13A7" w:rsidP="001A13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Україні</w:t>
      </w:r>
      <w:r w:rsidRPr="00C551DA">
        <w:rPr>
          <w:sz w:val="28"/>
          <w:szCs w:val="28"/>
        </w:rPr>
        <w:t>», «Про регулювання містобудівної діяльності», «Про благоустрій населених пунктів», Наказів Міністерства регіонального розвитку будівництва та житлово-комунального господарства України від 21 жовтня 2011 року №244 «Про затвердження Порядку розміщення тимчасових споруд для провадження підприємницької діяльності», рішення Нововолинської міської ради «Про порядок розміщення тимчасових споруд під час проведення ярмарків, державних та місцевих заходів у місті Нововолинську» від 12.10.2017 №19/11 та «Про порядок визначення обсягів пайової участі власників тимчасових споруд торгівельного, побутового, соціально-культурного чи іншого призначення в утриманні об'єктів благоустрою на території м. Нововолинська» від 20.02.2019 №29/54,</w:t>
      </w:r>
      <w:r>
        <w:rPr>
          <w:sz w:val="28"/>
          <w:szCs w:val="28"/>
        </w:rPr>
        <w:t xml:space="preserve"> з метою </w:t>
      </w:r>
      <w:r w:rsidRPr="003C3EB2">
        <w:rPr>
          <w:sz w:val="28"/>
          <w:szCs w:val="28"/>
        </w:rPr>
        <w:t xml:space="preserve">забезпечення належного рівня </w:t>
      </w:r>
      <w:r>
        <w:rPr>
          <w:sz w:val="28"/>
          <w:szCs w:val="28"/>
        </w:rPr>
        <w:t>благоустрою міста, установлення</w:t>
      </w:r>
      <w:r w:rsidRPr="003C3EB2">
        <w:rPr>
          <w:sz w:val="28"/>
          <w:szCs w:val="28"/>
        </w:rPr>
        <w:t xml:space="preserve"> правовідносин, пов’язаних зі встановленням тимчасових споруд для здійснення підприємницької діяльності</w:t>
      </w:r>
      <w:r w:rsidRPr="000E78A1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 Нововолинської територіальної громади,</w:t>
      </w:r>
      <w:r w:rsidRPr="00800CFB">
        <w:rPr>
          <w:sz w:val="28"/>
          <w:szCs w:val="28"/>
        </w:rPr>
        <w:t xml:space="preserve"> в</w:t>
      </w:r>
      <w:r>
        <w:rPr>
          <w:sz w:val="28"/>
          <w:szCs w:val="28"/>
        </w:rPr>
        <w:t>иконавчий комітет</w:t>
      </w:r>
      <w:r w:rsidRPr="00800CFB">
        <w:rPr>
          <w:sz w:val="28"/>
          <w:szCs w:val="28"/>
        </w:rPr>
        <w:t xml:space="preserve"> міської ради</w:t>
      </w:r>
    </w:p>
    <w:p w:rsidR="001A13A7" w:rsidRDefault="001A13A7" w:rsidP="001A13A7">
      <w:pPr>
        <w:pStyle w:val="a3"/>
        <w:spacing w:before="0"/>
        <w:jc w:val="center"/>
        <w:rPr>
          <w:b w:val="0"/>
          <w:bCs/>
          <w:szCs w:val="28"/>
        </w:rPr>
      </w:pPr>
    </w:p>
    <w:p w:rsidR="001A13A7" w:rsidRDefault="001A13A7" w:rsidP="001A13A7">
      <w:pPr>
        <w:pStyle w:val="a3"/>
        <w:spacing w:before="0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В И Р І Ш И </w:t>
      </w:r>
      <w:r w:rsidRPr="001C5A5B">
        <w:rPr>
          <w:b w:val="0"/>
          <w:bCs/>
          <w:szCs w:val="28"/>
        </w:rPr>
        <w:t>В:</w:t>
      </w:r>
    </w:p>
    <w:p w:rsidR="001A13A7" w:rsidRDefault="001A13A7" w:rsidP="001A13A7">
      <w:pPr>
        <w:pStyle w:val="a3"/>
        <w:spacing w:before="0"/>
        <w:jc w:val="center"/>
        <w:rPr>
          <w:b w:val="0"/>
          <w:bCs/>
          <w:szCs w:val="28"/>
        </w:rPr>
      </w:pPr>
    </w:p>
    <w:p w:rsidR="001A13A7" w:rsidRDefault="001A13A7" w:rsidP="001A13A7">
      <w:pPr>
        <w:pStyle w:val="a3"/>
        <w:spacing w:before="0"/>
        <w:ind w:firstLine="708"/>
        <w:rPr>
          <w:b w:val="0"/>
          <w:color w:val="000000"/>
          <w:szCs w:val="28"/>
          <w:lang w:eastAsia="uk-UA"/>
        </w:rPr>
      </w:pPr>
      <w:r>
        <w:rPr>
          <w:b w:val="0"/>
          <w:color w:val="000000"/>
          <w:szCs w:val="28"/>
          <w:lang w:eastAsia="uk-UA"/>
        </w:rPr>
        <w:t xml:space="preserve">1. Інформацію відділу містобудування та земельних відносин виконавчого комітету Нововолинської міської ради про </w:t>
      </w:r>
      <w:r>
        <w:rPr>
          <w:b w:val="0"/>
          <w:szCs w:val="28"/>
        </w:rPr>
        <w:t>законність встановлення малих архітектурних форм,</w:t>
      </w:r>
      <w:r w:rsidRPr="007D0C17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тимчасових споруд, металевих та дерев’яних конструкцій  на території міста </w:t>
      </w:r>
      <w:r w:rsidRPr="00A8433B">
        <w:rPr>
          <w:b w:val="0"/>
          <w:color w:val="000000"/>
          <w:szCs w:val="28"/>
          <w:lang w:eastAsia="uk-UA"/>
        </w:rPr>
        <w:t>Нововолинська</w:t>
      </w:r>
      <w:r>
        <w:rPr>
          <w:b w:val="0"/>
          <w:color w:val="000000"/>
          <w:szCs w:val="28"/>
          <w:lang w:eastAsia="uk-UA"/>
        </w:rPr>
        <w:t xml:space="preserve"> та </w:t>
      </w:r>
      <w:proofErr w:type="spellStart"/>
      <w:r>
        <w:rPr>
          <w:b w:val="0"/>
          <w:color w:val="000000"/>
          <w:szCs w:val="28"/>
          <w:lang w:eastAsia="uk-UA"/>
        </w:rPr>
        <w:t>смт</w:t>
      </w:r>
      <w:proofErr w:type="spellEnd"/>
      <w:r>
        <w:rPr>
          <w:b w:val="0"/>
          <w:color w:val="000000"/>
          <w:szCs w:val="28"/>
          <w:lang w:eastAsia="uk-UA"/>
        </w:rPr>
        <w:t>. Благодатного</w:t>
      </w:r>
      <w:r w:rsidRPr="00A8433B">
        <w:rPr>
          <w:b w:val="0"/>
          <w:color w:val="000000"/>
          <w:szCs w:val="28"/>
          <w:lang w:eastAsia="uk-UA"/>
        </w:rPr>
        <w:t xml:space="preserve"> взяти до відома</w:t>
      </w:r>
      <w:r>
        <w:rPr>
          <w:b w:val="0"/>
          <w:color w:val="000000"/>
          <w:szCs w:val="28"/>
          <w:lang w:eastAsia="uk-UA"/>
        </w:rPr>
        <w:t xml:space="preserve"> (додаток 1).</w:t>
      </w:r>
    </w:p>
    <w:p w:rsidR="001A13A7" w:rsidRPr="001A13A7" w:rsidRDefault="001A13A7" w:rsidP="001A13A7">
      <w:pPr>
        <w:pStyle w:val="a3"/>
        <w:spacing w:before="0"/>
        <w:ind w:firstLine="708"/>
        <w:rPr>
          <w:b w:val="0"/>
          <w:color w:val="000000"/>
          <w:szCs w:val="28"/>
          <w:lang w:eastAsia="uk-UA"/>
        </w:rPr>
      </w:pPr>
      <w:r w:rsidRPr="00FC1CB2">
        <w:rPr>
          <w:b w:val="0"/>
          <w:color w:val="000000"/>
          <w:szCs w:val="28"/>
          <w:lang w:eastAsia="uk-UA"/>
        </w:rPr>
        <w:t xml:space="preserve">2. Зобов’язати відділ містобудування та земельних відносин, при погодженні вибору місць встановлення тимчасових споруд малих архітектурних форм і наданні паспортів їх прив’язки, дотримуватись чинного законодавства та затвердженої </w:t>
      </w:r>
      <w:r w:rsidRPr="00FC1CB2">
        <w:rPr>
          <w:b w:val="0"/>
          <w:color w:val="000000"/>
          <w:szCs w:val="28"/>
        </w:rPr>
        <w:t xml:space="preserve">схеми перспективного розміщення </w:t>
      </w:r>
      <w:r w:rsidRPr="00FC1CB2">
        <w:rPr>
          <w:b w:val="0"/>
          <w:szCs w:val="28"/>
        </w:rPr>
        <w:t>тимчасових споруд для провадження підприємницької діяльності</w:t>
      </w:r>
      <w:r w:rsidRPr="00FC1CB2">
        <w:rPr>
          <w:b w:val="0"/>
          <w:color w:val="000000"/>
          <w:szCs w:val="28"/>
        </w:rPr>
        <w:t xml:space="preserve"> </w:t>
      </w:r>
      <w:r w:rsidRPr="00FC1CB2">
        <w:rPr>
          <w:b w:val="0"/>
          <w:szCs w:val="28"/>
        </w:rPr>
        <w:t xml:space="preserve">на території </w:t>
      </w:r>
      <w:r w:rsidRPr="001A13A7">
        <w:rPr>
          <w:b w:val="0"/>
          <w:color w:val="000000"/>
          <w:szCs w:val="28"/>
          <w:lang w:eastAsia="uk-UA"/>
        </w:rPr>
        <w:t xml:space="preserve">Нововолинської територіальної громади. </w:t>
      </w:r>
    </w:p>
    <w:p w:rsidR="001A13A7" w:rsidRPr="001A13A7" w:rsidRDefault="001C547F" w:rsidP="001A13A7">
      <w:pPr>
        <w:pStyle w:val="a3"/>
        <w:spacing w:before="60"/>
        <w:ind w:firstLine="708"/>
        <w:rPr>
          <w:b w:val="0"/>
          <w:color w:val="000000"/>
          <w:szCs w:val="28"/>
          <w:lang w:eastAsia="uk-UA"/>
        </w:rPr>
      </w:pPr>
      <w:r>
        <w:rPr>
          <w:b w:val="0"/>
          <w:color w:val="000000"/>
          <w:szCs w:val="28"/>
          <w:lang w:eastAsia="uk-UA"/>
        </w:rPr>
        <w:lastRenderedPageBreak/>
        <w:t>3.</w:t>
      </w:r>
      <w:r>
        <w:rPr>
          <w:b w:val="0"/>
          <w:color w:val="000000"/>
          <w:szCs w:val="28"/>
          <w:lang w:val="en-US" w:eastAsia="uk-UA"/>
        </w:rPr>
        <w:t> </w:t>
      </w:r>
      <w:r w:rsidR="001A13A7" w:rsidRPr="001A13A7">
        <w:rPr>
          <w:b w:val="0"/>
          <w:color w:val="000000"/>
          <w:szCs w:val="28"/>
          <w:lang w:eastAsia="uk-UA"/>
        </w:rPr>
        <w:t>До 01 травня 2021 року замовити і видати таблички-кріплення власникам легально встановлених малих архітектурних форм, тимчасових споруд, металевих та дерев’яних конструкцій з метою громадського контролю.</w:t>
      </w:r>
    </w:p>
    <w:p w:rsidR="001A13A7" w:rsidRPr="001C547F" w:rsidRDefault="001C547F" w:rsidP="001A13A7">
      <w:pPr>
        <w:pStyle w:val="a3"/>
        <w:spacing w:before="0"/>
        <w:ind w:firstLine="284"/>
        <w:rPr>
          <w:b w:val="0"/>
          <w:color w:val="000000"/>
          <w:szCs w:val="28"/>
          <w:lang w:val="ru-RU" w:eastAsia="uk-UA"/>
        </w:rPr>
      </w:pPr>
      <w:r>
        <w:rPr>
          <w:b w:val="0"/>
          <w:color w:val="000000"/>
          <w:szCs w:val="28"/>
          <w:lang w:eastAsia="uk-UA"/>
        </w:rPr>
        <w:t xml:space="preserve">     4. До 01 травня 2021 року </w:t>
      </w:r>
      <w:r w:rsidR="001A13A7" w:rsidRPr="001A13A7">
        <w:rPr>
          <w:b w:val="0"/>
          <w:color w:val="000000"/>
          <w:szCs w:val="28"/>
          <w:lang w:eastAsia="uk-UA"/>
        </w:rPr>
        <w:t xml:space="preserve">створити </w:t>
      </w:r>
      <w:r>
        <w:rPr>
          <w:b w:val="0"/>
          <w:color w:val="000000"/>
          <w:szCs w:val="28"/>
          <w:lang w:eastAsia="uk-UA"/>
        </w:rPr>
        <w:t>карту</w:t>
      </w:r>
      <w:r w:rsidR="001A13A7" w:rsidRPr="001A13A7">
        <w:rPr>
          <w:b w:val="0"/>
          <w:color w:val="000000"/>
          <w:szCs w:val="28"/>
          <w:lang w:eastAsia="uk-UA"/>
        </w:rPr>
        <w:t xml:space="preserve"> </w:t>
      </w:r>
      <w:r w:rsidRPr="001A13A7">
        <w:rPr>
          <w:b w:val="0"/>
          <w:color w:val="000000"/>
          <w:szCs w:val="28"/>
          <w:lang w:eastAsia="uk-UA"/>
        </w:rPr>
        <w:t>малих архітектурних форм, тимчасових споруд, металевих та дерев’яних конструкцій</w:t>
      </w:r>
      <w:r w:rsidR="001A13A7" w:rsidRPr="001A13A7">
        <w:rPr>
          <w:b w:val="0"/>
          <w:color w:val="000000"/>
          <w:szCs w:val="28"/>
          <w:lang w:eastAsia="uk-UA"/>
        </w:rPr>
        <w:t xml:space="preserve"> </w:t>
      </w:r>
      <w:r>
        <w:rPr>
          <w:b w:val="0"/>
          <w:color w:val="000000"/>
          <w:szCs w:val="28"/>
          <w:lang w:eastAsia="uk-UA"/>
        </w:rPr>
        <w:t xml:space="preserve">з використанням безкоштовного </w:t>
      </w:r>
      <w:proofErr w:type="spellStart"/>
      <w:r>
        <w:rPr>
          <w:b w:val="0"/>
          <w:color w:val="000000"/>
          <w:szCs w:val="28"/>
          <w:lang w:eastAsia="uk-UA"/>
        </w:rPr>
        <w:t>веб-сервісу</w:t>
      </w:r>
      <w:proofErr w:type="spellEnd"/>
      <w:r>
        <w:rPr>
          <w:b w:val="0"/>
          <w:color w:val="000000"/>
          <w:szCs w:val="28"/>
          <w:lang w:eastAsia="uk-UA"/>
        </w:rPr>
        <w:t xml:space="preserve"> </w:t>
      </w:r>
      <w:r>
        <w:rPr>
          <w:b w:val="0"/>
          <w:color w:val="000000"/>
          <w:szCs w:val="28"/>
          <w:lang w:val="en-US" w:eastAsia="uk-UA"/>
        </w:rPr>
        <w:t>Google</w:t>
      </w:r>
      <w:r w:rsidRPr="001C547F">
        <w:rPr>
          <w:b w:val="0"/>
          <w:color w:val="000000"/>
          <w:szCs w:val="28"/>
          <w:lang w:val="ru-RU" w:eastAsia="uk-UA"/>
        </w:rPr>
        <w:t xml:space="preserve"> </w:t>
      </w:r>
      <w:r>
        <w:rPr>
          <w:b w:val="0"/>
          <w:color w:val="000000"/>
          <w:szCs w:val="28"/>
          <w:lang w:val="en-US" w:eastAsia="uk-UA"/>
        </w:rPr>
        <w:t>Maps</w:t>
      </w:r>
      <w:r w:rsidRPr="001C547F">
        <w:rPr>
          <w:b w:val="0"/>
          <w:color w:val="000000"/>
          <w:szCs w:val="28"/>
          <w:lang w:val="ru-RU" w:eastAsia="uk-UA"/>
        </w:rPr>
        <w:t>.</w:t>
      </w:r>
    </w:p>
    <w:p w:rsidR="001A13A7" w:rsidRDefault="001A13A7" w:rsidP="001A13A7">
      <w:pPr>
        <w:pStyle w:val="a3"/>
        <w:spacing w:before="0"/>
        <w:ind w:firstLine="284"/>
        <w:rPr>
          <w:b w:val="0"/>
          <w:color w:val="000000"/>
          <w:szCs w:val="28"/>
          <w:lang w:eastAsia="uk-UA"/>
        </w:rPr>
      </w:pPr>
      <w:r>
        <w:rPr>
          <w:b w:val="0"/>
          <w:color w:val="000000"/>
          <w:szCs w:val="28"/>
          <w:lang w:eastAsia="uk-UA"/>
        </w:rPr>
        <w:t xml:space="preserve">      5</w:t>
      </w:r>
      <w:r w:rsidRPr="007D0C17">
        <w:rPr>
          <w:b w:val="0"/>
          <w:color w:val="000000"/>
          <w:szCs w:val="28"/>
          <w:lang w:eastAsia="uk-UA"/>
        </w:rPr>
        <w:t>.</w:t>
      </w:r>
      <w:r w:rsidR="001C547F">
        <w:rPr>
          <w:b w:val="0"/>
          <w:color w:val="000000"/>
          <w:szCs w:val="28"/>
          <w:lang w:val="en-US" w:eastAsia="uk-UA"/>
        </w:rPr>
        <w:t> </w:t>
      </w:r>
      <w:r w:rsidRPr="007D0C17">
        <w:rPr>
          <w:b w:val="0"/>
          <w:color w:val="000000"/>
          <w:szCs w:val="28"/>
          <w:lang w:eastAsia="uk-UA"/>
        </w:rPr>
        <w:t xml:space="preserve">Контроль за виконанням даного рішення покласти на заступника міського  голови з питань діяльності виконавчих органів </w:t>
      </w:r>
      <w:proofErr w:type="spellStart"/>
      <w:r w:rsidRPr="007D0C17">
        <w:rPr>
          <w:b w:val="0"/>
          <w:color w:val="000000"/>
          <w:szCs w:val="28"/>
          <w:lang w:eastAsia="uk-UA"/>
        </w:rPr>
        <w:t>Громика</w:t>
      </w:r>
      <w:proofErr w:type="spellEnd"/>
      <w:r w:rsidRPr="007D0C17">
        <w:rPr>
          <w:b w:val="0"/>
          <w:color w:val="000000"/>
          <w:szCs w:val="28"/>
          <w:lang w:eastAsia="uk-UA"/>
        </w:rPr>
        <w:t xml:space="preserve"> О.І.</w:t>
      </w:r>
    </w:p>
    <w:p w:rsidR="001A13A7" w:rsidRDefault="001A13A7" w:rsidP="001A13A7">
      <w:pPr>
        <w:pStyle w:val="a3"/>
        <w:spacing w:before="0"/>
        <w:ind w:firstLine="284"/>
        <w:rPr>
          <w:b w:val="0"/>
          <w:color w:val="000000"/>
          <w:szCs w:val="28"/>
          <w:lang w:eastAsia="uk-UA"/>
        </w:rPr>
      </w:pPr>
    </w:p>
    <w:p w:rsidR="001A13A7" w:rsidRPr="007D0C17" w:rsidRDefault="001A13A7" w:rsidP="001A13A7">
      <w:pPr>
        <w:pStyle w:val="a3"/>
        <w:spacing w:before="0"/>
        <w:ind w:firstLine="284"/>
        <w:rPr>
          <w:b w:val="0"/>
          <w:color w:val="000000"/>
          <w:szCs w:val="28"/>
          <w:lang w:eastAsia="uk-UA"/>
        </w:rPr>
      </w:pPr>
    </w:p>
    <w:p w:rsidR="001A13A7" w:rsidRDefault="001A13A7" w:rsidP="001A13A7">
      <w:pPr>
        <w:spacing w:before="120"/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</w:t>
      </w:r>
      <w:r>
        <w:rPr>
          <w:sz w:val="28"/>
          <w:szCs w:val="28"/>
        </w:rPr>
        <w:t xml:space="preserve">    </w:t>
      </w:r>
      <w:r w:rsidRPr="000337C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Pr="000337C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1A13A7" w:rsidRPr="000337C4" w:rsidRDefault="001A13A7" w:rsidP="001A13A7">
      <w:pPr>
        <w:spacing w:before="120"/>
        <w:jc w:val="both"/>
        <w:rPr>
          <w:sz w:val="28"/>
          <w:szCs w:val="28"/>
        </w:rPr>
      </w:pPr>
    </w:p>
    <w:p w:rsidR="001A13A7" w:rsidRDefault="001A13A7" w:rsidP="001A13A7">
      <w:pPr>
        <w:jc w:val="both"/>
      </w:pPr>
    </w:p>
    <w:p w:rsidR="001A13A7" w:rsidRDefault="001A13A7" w:rsidP="001A13A7">
      <w:pPr>
        <w:jc w:val="both"/>
      </w:pPr>
      <w:proofErr w:type="spellStart"/>
      <w:r w:rsidRPr="00F80DD6">
        <w:t>Вісьтак</w:t>
      </w:r>
      <w:proofErr w:type="spellEnd"/>
      <w:r w:rsidRPr="00F80DD6">
        <w:t xml:space="preserve"> 33441</w:t>
      </w:r>
    </w:p>
    <w:p w:rsidR="00BC4659" w:rsidRDefault="00BC4659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/>
    <w:p w:rsidR="00367D62" w:rsidRDefault="00367D62" w:rsidP="00367D62">
      <w:pPr>
        <w:jc w:val="right"/>
      </w:pPr>
      <w:r w:rsidRPr="00C904C9">
        <w:rPr>
          <w:color w:val="000000"/>
          <w:sz w:val="28"/>
          <w:szCs w:val="28"/>
        </w:rPr>
        <w:lastRenderedPageBreak/>
        <w:t>Додаток 1</w:t>
      </w:r>
    </w:p>
    <w:p w:rsidR="00367D62" w:rsidRDefault="00367D62" w:rsidP="00367D62">
      <w:pPr>
        <w:jc w:val="center"/>
        <w:outlineLvl w:val="0"/>
        <w:rPr>
          <w:b/>
          <w:sz w:val="28"/>
          <w:szCs w:val="28"/>
        </w:rPr>
      </w:pPr>
    </w:p>
    <w:p w:rsidR="00367D62" w:rsidRDefault="00367D62" w:rsidP="00367D62">
      <w:pPr>
        <w:jc w:val="center"/>
        <w:outlineLvl w:val="0"/>
        <w:rPr>
          <w:b/>
          <w:sz w:val="28"/>
          <w:szCs w:val="28"/>
        </w:rPr>
      </w:pPr>
    </w:p>
    <w:p w:rsidR="00367D62" w:rsidRDefault="00367D62" w:rsidP="00367D62">
      <w:pPr>
        <w:jc w:val="center"/>
        <w:outlineLvl w:val="0"/>
        <w:rPr>
          <w:b/>
          <w:sz w:val="28"/>
          <w:szCs w:val="28"/>
        </w:rPr>
      </w:pPr>
      <w:r w:rsidRPr="007606ED">
        <w:rPr>
          <w:b/>
          <w:sz w:val="28"/>
          <w:szCs w:val="28"/>
        </w:rPr>
        <w:t xml:space="preserve">ІНФОРМАЦІЯ </w:t>
      </w:r>
    </w:p>
    <w:p w:rsidR="00367D62" w:rsidRDefault="00367D62" w:rsidP="00367D62">
      <w:pPr>
        <w:jc w:val="center"/>
        <w:outlineLvl w:val="0"/>
        <w:rPr>
          <w:b/>
          <w:sz w:val="28"/>
          <w:szCs w:val="28"/>
        </w:rPr>
      </w:pPr>
      <w:r w:rsidRPr="007606ED">
        <w:rPr>
          <w:b/>
          <w:sz w:val="28"/>
          <w:szCs w:val="28"/>
        </w:rPr>
        <w:t>відділу</w:t>
      </w:r>
      <w:r>
        <w:rPr>
          <w:b/>
          <w:sz w:val="28"/>
          <w:szCs w:val="28"/>
        </w:rPr>
        <w:t xml:space="preserve"> </w:t>
      </w:r>
      <w:r w:rsidRPr="000E78A1">
        <w:rPr>
          <w:b/>
          <w:sz w:val="28"/>
          <w:szCs w:val="28"/>
        </w:rPr>
        <w:t>містобудування та земельних відносин виконавчого комітету Нововолинської міської ради про законність встановлення малих архітектурних форм, тимчасових споруд, металевих та дерев’яних конструкцій  на території міста Нововолинська</w:t>
      </w:r>
      <w:r>
        <w:rPr>
          <w:b/>
          <w:sz w:val="28"/>
          <w:szCs w:val="28"/>
        </w:rPr>
        <w:t xml:space="preserve"> та </w:t>
      </w:r>
      <w:proofErr w:type="spellStart"/>
      <w:r w:rsidRPr="006F1782">
        <w:rPr>
          <w:b/>
          <w:color w:val="000000"/>
          <w:sz w:val="28"/>
          <w:szCs w:val="28"/>
          <w:lang w:eastAsia="uk-UA"/>
        </w:rPr>
        <w:t>смт</w:t>
      </w:r>
      <w:proofErr w:type="spellEnd"/>
      <w:r w:rsidRPr="006F1782">
        <w:rPr>
          <w:b/>
          <w:color w:val="000000"/>
          <w:sz w:val="28"/>
          <w:szCs w:val="28"/>
          <w:lang w:eastAsia="uk-UA"/>
        </w:rPr>
        <w:t>. Благодатного</w:t>
      </w:r>
    </w:p>
    <w:p w:rsidR="00367D62" w:rsidRDefault="00367D62" w:rsidP="00367D62">
      <w:pPr>
        <w:jc w:val="both"/>
      </w:pPr>
    </w:p>
    <w:p w:rsidR="00367D62" w:rsidRPr="00227BE7" w:rsidRDefault="00367D62" w:rsidP="00367D62">
      <w:pPr>
        <w:ind w:firstLine="425"/>
        <w:jc w:val="both"/>
        <w:rPr>
          <w:color w:val="000000"/>
          <w:sz w:val="28"/>
          <w:szCs w:val="28"/>
        </w:rPr>
      </w:pPr>
      <w:r w:rsidRPr="00227BE7">
        <w:rPr>
          <w:color w:val="000000"/>
          <w:sz w:val="28"/>
          <w:szCs w:val="28"/>
        </w:rPr>
        <w:t>Розміщення тимчасових споруд для провадження підприємницької діяльності  (</w:t>
      </w:r>
      <w:proofErr w:type="spellStart"/>
      <w:r w:rsidRPr="00227BE7">
        <w:rPr>
          <w:color w:val="000000"/>
          <w:sz w:val="28"/>
          <w:szCs w:val="28"/>
        </w:rPr>
        <w:t>МАФ</w:t>
      </w:r>
      <w:proofErr w:type="spellEnd"/>
      <w:r w:rsidRPr="00227BE7">
        <w:rPr>
          <w:color w:val="000000"/>
          <w:sz w:val="28"/>
          <w:szCs w:val="28"/>
        </w:rPr>
        <w:t xml:space="preserve">, павільйонів, кіосків і т.п.), на території міста Нововолинська здійснюється з врахуванням Законів України «Про регулювання містобудівної діяльності», «Про благоустрій населених пунктів», Наказів Міністерства регіонального розвитку будівництва та житлово-комунального господарства України від 21 жовтня 2011 року №244  «Про затвердження Порядку розміщення тимчасових споруд для провадження підприємницької діяльності», рішення Нововолинської міської ради  «Про порядок розміщення тимчасових споруд під час проведення ярмарків, державних та місцевих заходів у місті Нововолинську» від 12 жовтня 2017 року  №19/11  та «Про порядок визначення обсягів пайової участі власників тимчасових споруд торгівельного, побутового, соціально-культурного чи іншого призначення в утриманні об'єктів благоустрою на території м. Нововолинська» </w:t>
      </w:r>
      <w:r>
        <w:rPr>
          <w:color w:val="000000"/>
          <w:sz w:val="28"/>
          <w:szCs w:val="28"/>
        </w:rPr>
        <w:t xml:space="preserve"> </w:t>
      </w:r>
      <w:r w:rsidRPr="00227BE7">
        <w:rPr>
          <w:color w:val="000000"/>
          <w:sz w:val="28"/>
          <w:szCs w:val="28"/>
        </w:rPr>
        <w:t xml:space="preserve">від 20 лютого 2019 року  №29/54.  </w:t>
      </w:r>
    </w:p>
    <w:p w:rsidR="00367D62" w:rsidRPr="00227BE7" w:rsidRDefault="00367D62" w:rsidP="00367D62">
      <w:pPr>
        <w:ind w:firstLine="425"/>
        <w:jc w:val="both"/>
        <w:rPr>
          <w:color w:val="000000"/>
          <w:sz w:val="28"/>
          <w:szCs w:val="28"/>
        </w:rPr>
      </w:pPr>
      <w:r w:rsidRPr="00227BE7">
        <w:rPr>
          <w:color w:val="000000"/>
          <w:sz w:val="28"/>
          <w:szCs w:val="28"/>
        </w:rPr>
        <w:t xml:space="preserve">Згідно «Порядку розміщення тимчасових споруд для провадження підприємницької діяльності» визначено типи тимчасових споруд: </w:t>
      </w:r>
    </w:p>
    <w:p w:rsidR="00367D62" w:rsidRPr="00227BE7" w:rsidRDefault="00367D62" w:rsidP="00367D62">
      <w:pPr>
        <w:ind w:firstLine="425"/>
        <w:jc w:val="both"/>
        <w:rPr>
          <w:color w:val="000000"/>
          <w:sz w:val="28"/>
          <w:szCs w:val="28"/>
        </w:rPr>
      </w:pPr>
      <w:r w:rsidRPr="00227BE7">
        <w:rPr>
          <w:color w:val="000000"/>
          <w:sz w:val="28"/>
          <w:szCs w:val="28"/>
        </w:rPr>
        <w:t xml:space="preserve">Стаціонарна ТС – споруда, яка має закрите приміщення для тимчасового перебування людей і по зовнішньому контуру площу до 30 </w:t>
      </w:r>
      <w:proofErr w:type="spellStart"/>
      <w:r w:rsidRPr="00227BE7">
        <w:rPr>
          <w:color w:val="000000"/>
          <w:sz w:val="28"/>
          <w:szCs w:val="28"/>
        </w:rPr>
        <w:t>кв.м</w:t>
      </w:r>
      <w:proofErr w:type="spellEnd"/>
      <w:r w:rsidRPr="00227BE7">
        <w:rPr>
          <w:color w:val="000000"/>
          <w:sz w:val="28"/>
          <w:szCs w:val="28"/>
        </w:rPr>
        <w:t xml:space="preserve">.; </w:t>
      </w:r>
    </w:p>
    <w:p w:rsidR="00367D62" w:rsidRPr="00227BE7" w:rsidRDefault="00367D62" w:rsidP="00367D62">
      <w:pPr>
        <w:ind w:firstLine="425"/>
        <w:jc w:val="both"/>
        <w:rPr>
          <w:color w:val="000000"/>
          <w:sz w:val="28"/>
          <w:szCs w:val="28"/>
        </w:rPr>
      </w:pPr>
      <w:r w:rsidRPr="00227BE7">
        <w:rPr>
          <w:color w:val="000000"/>
          <w:sz w:val="28"/>
          <w:szCs w:val="28"/>
        </w:rPr>
        <w:t xml:space="preserve">Пересувні тимчасові споруди сезонної торгівлі – споруди, які не мають закритого приміщення для тимчасового перебування людей, торгівельне обладнання, низькотемпературні прилавки, лотки, палатки, ємності, торговельні автомати, автомагазини, </w:t>
      </w:r>
      <w:proofErr w:type="spellStart"/>
      <w:r w:rsidRPr="00227BE7">
        <w:rPr>
          <w:color w:val="000000"/>
          <w:sz w:val="28"/>
          <w:szCs w:val="28"/>
        </w:rPr>
        <w:t>автокафе</w:t>
      </w:r>
      <w:proofErr w:type="spellEnd"/>
      <w:r w:rsidRPr="00227BE7">
        <w:rPr>
          <w:color w:val="000000"/>
          <w:sz w:val="28"/>
          <w:szCs w:val="28"/>
        </w:rPr>
        <w:t xml:space="preserve">, </w:t>
      </w:r>
      <w:proofErr w:type="spellStart"/>
      <w:r w:rsidRPr="00227BE7">
        <w:rPr>
          <w:color w:val="000000"/>
          <w:sz w:val="28"/>
          <w:szCs w:val="28"/>
        </w:rPr>
        <w:t>авторозвозки</w:t>
      </w:r>
      <w:proofErr w:type="spellEnd"/>
      <w:r w:rsidRPr="00227BE7">
        <w:rPr>
          <w:color w:val="000000"/>
          <w:sz w:val="28"/>
          <w:szCs w:val="28"/>
        </w:rPr>
        <w:t xml:space="preserve"> та інші прилади для сезонної роздрібної торгівлі.</w:t>
      </w:r>
    </w:p>
    <w:p w:rsidR="00367D62" w:rsidRPr="00E347E9" w:rsidRDefault="00367D62" w:rsidP="00367D62">
      <w:pPr>
        <w:ind w:firstLine="425"/>
        <w:jc w:val="both"/>
        <w:rPr>
          <w:color w:val="000000"/>
          <w:spacing w:val="-4"/>
          <w:sz w:val="28"/>
          <w:szCs w:val="28"/>
        </w:rPr>
      </w:pPr>
      <w:r w:rsidRPr="00E347E9">
        <w:rPr>
          <w:color w:val="000000"/>
          <w:spacing w:val="-4"/>
          <w:sz w:val="28"/>
          <w:szCs w:val="28"/>
        </w:rPr>
        <w:t>Пересувні тимчасові споруди з надання послуг у сфері розваг – пристрій або комбінація пристроїв, які пересувають або спрямовують відвідувача (відвідувачів) заданою траєкторією або в певній зоні з метою розваг, або інші пристрої, які використовуються в місцях дозвілля для розваг населення й активного відпочинку:</w:t>
      </w:r>
    </w:p>
    <w:p w:rsidR="00367D62" w:rsidRPr="00A3406E" w:rsidRDefault="00367D62" w:rsidP="00367D62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A3406E">
        <w:rPr>
          <w:color w:val="000000"/>
          <w:sz w:val="28"/>
          <w:szCs w:val="28"/>
          <w:lang w:eastAsia="uk-UA"/>
        </w:rPr>
        <w:t>катальні механізовані та немеханізовані, у тому числі каруселі, гойдалки, качалки, катальні гори, гірки, колеса огляду, вежі, автодроми, машинки тощо;</w:t>
      </w:r>
    </w:p>
    <w:p w:rsidR="00367D62" w:rsidRPr="00A3406E" w:rsidRDefault="00367D62" w:rsidP="00367D62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A3406E">
        <w:rPr>
          <w:color w:val="000000"/>
          <w:sz w:val="28"/>
          <w:szCs w:val="28"/>
          <w:lang w:eastAsia="uk-UA"/>
        </w:rPr>
        <w:t>атракціони з еластичними елементами (катапульти, стрибки з висоти на еластичному тросі, тощо);</w:t>
      </w:r>
    </w:p>
    <w:p w:rsidR="00367D62" w:rsidRPr="00A3406E" w:rsidRDefault="00367D62" w:rsidP="00367D62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A3406E">
        <w:rPr>
          <w:color w:val="000000"/>
          <w:sz w:val="28"/>
          <w:szCs w:val="28"/>
          <w:lang w:eastAsia="uk-UA"/>
        </w:rPr>
        <w:t>спортивні, у тому числі силові, тренажери, тири, батути, тощо;</w:t>
      </w:r>
    </w:p>
    <w:p w:rsidR="00367D62" w:rsidRPr="00A3406E" w:rsidRDefault="00367D62" w:rsidP="00367D62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A3406E">
        <w:rPr>
          <w:color w:val="000000"/>
          <w:sz w:val="28"/>
          <w:szCs w:val="28"/>
          <w:lang w:eastAsia="uk-UA"/>
        </w:rPr>
        <w:t>обладнання дитячих ігрових майданчиків, у</w:t>
      </w:r>
      <w:r>
        <w:rPr>
          <w:color w:val="000000"/>
          <w:sz w:val="28"/>
          <w:szCs w:val="28"/>
          <w:lang w:eastAsia="uk-UA"/>
        </w:rPr>
        <w:t xml:space="preserve"> </w:t>
      </w:r>
      <w:r w:rsidRPr="00A3406E">
        <w:rPr>
          <w:color w:val="000000"/>
          <w:sz w:val="28"/>
          <w:szCs w:val="28"/>
          <w:lang w:eastAsia="uk-UA"/>
        </w:rPr>
        <w:t>тому числі каруселі, гойдалки, качалки, гірки тощо.</w:t>
      </w:r>
    </w:p>
    <w:p w:rsidR="00367D62" w:rsidRPr="00A3406E" w:rsidRDefault="00367D62" w:rsidP="00367D62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A3406E">
        <w:rPr>
          <w:color w:val="000000"/>
          <w:sz w:val="28"/>
          <w:szCs w:val="28"/>
          <w:lang w:eastAsia="uk-UA"/>
        </w:rPr>
        <w:t>видові та ігрові атракціони;</w:t>
      </w:r>
    </w:p>
    <w:p w:rsidR="00367D62" w:rsidRPr="00A3406E" w:rsidRDefault="00367D62" w:rsidP="00367D62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A3406E">
        <w:rPr>
          <w:color w:val="000000"/>
          <w:sz w:val="28"/>
          <w:szCs w:val="28"/>
          <w:lang w:eastAsia="uk-UA"/>
        </w:rPr>
        <w:t>надувні атракціони, у</w:t>
      </w:r>
      <w:r>
        <w:rPr>
          <w:color w:val="000000"/>
          <w:sz w:val="28"/>
          <w:szCs w:val="28"/>
          <w:lang w:eastAsia="uk-UA"/>
        </w:rPr>
        <w:t xml:space="preserve"> </w:t>
      </w:r>
      <w:r w:rsidRPr="00A3406E">
        <w:rPr>
          <w:color w:val="000000"/>
          <w:sz w:val="28"/>
          <w:szCs w:val="28"/>
          <w:lang w:eastAsia="uk-UA"/>
        </w:rPr>
        <w:t>тому числі водні;</w:t>
      </w:r>
    </w:p>
    <w:p w:rsidR="00367D62" w:rsidRPr="00A3406E" w:rsidRDefault="00367D62" w:rsidP="00367D62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textAlignment w:val="baseline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>лабіринти, кімнати сміху.</w:t>
      </w:r>
    </w:p>
    <w:p w:rsidR="00367D62" w:rsidRPr="00227BE7" w:rsidRDefault="00367D62" w:rsidP="00367D62">
      <w:pPr>
        <w:ind w:firstLine="425"/>
        <w:jc w:val="both"/>
        <w:rPr>
          <w:color w:val="000000"/>
          <w:sz w:val="28"/>
          <w:szCs w:val="28"/>
        </w:rPr>
      </w:pPr>
      <w:r w:rsidRPr="00227BE7">
        <w:rPr>
          <w:color w:val="000000"/>
          <w:sz w:val="28"/>
          <w:szCs w:val="28"/>
        </w:rPr>
        <w:t xml:space="preserve">Сезонний (літній) торговельний майданчик – тимчасовий, збірно-роздрібний пункт, який розташовується поруч фасаду закладу ресторанного господарства або окремо стоячий від стаціонарного закладу ресторанного господарства. Виготовляється з полегшених конструкцій, встановлюється без влаштування фундаментів. Літній майданчик функціонує в період року з 1 квітня  по </w:t>
      </w:r>
      <w:r>
        <w:rPr>
          <w:color w:val="000000"/>
          <w:sz w:val="28"/>
          <w:szCs w:val="28"/>
        </w:rPr>
        <w:t xml:space="preserve"> </w:t>
      </w:r>
      <w:r w:rsidRPr="00227BE7">
        <w:rPr>
          <w:color w:val="000000"/>
          <w:sz w:val="28"/>
          <w:szCs w:val="28"/>
        </w:rPr>
        <w:t>1 листопада.</w:t>
      </w:r>
    </w:p>
    <w:p w:rsidR="00367D62" w:rsidRPr="00E57C08" w:rsidRDefault="00367D62" w:rsidP="00367D62">
      <w:pPr>
        <w:ind w:firstLine="425"/>
        <w:jc w:val="both"/>
        <w:rPr>
          <w:color w:val="000000"/>
          <w:sz w:val="16"/>
          <w:szCs w:val="16"/>
        </w:rPr>
      </w:pPr>
    </w:p>
    <w:p w:rsidR="00367D62" w:rsidRPr="00227BE7" w:rsidRDefault="00367D62" w:rsidP="00367D62">
      <w:pPr>
        <w:ind w:firstLine="425"/>
        <w:jc w:val="both"/>
        <w:rPr>
          <w:color w:val="000000"/>
          <w:sz w:val="28"/>
          <w:szCs w:val="28"/>
        </w:rPr>
      </w:pPr>
      <w:r w:rsidRPr="00227BE7"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</w:t>
      </w:r>
      <w:r w:rsidRPr="00227BE7">
        <w:rPr>
          <w:color w:val="000000"/>
          <w:sz w:val="28"/>
          <w:szCs w:val="28"/>
        </w:rPr>
        <w:t xml:space="preserve">підприємцям земельних ділянок в оренду для розміщення тимчасових споруд відбувалось, як правило, згідно рішень міської ради </w:t>
      </w:r>
      <w:r>
        <w:rPr>
          <w:color w:val="000000"/>
          <w:sz w:val="28"/>
          <w:szCs w:val="28"/>
        </w:rPr>
        <w:t xml:space="preserve">та </w:t>
      </w:r>
      <w:r w:rsidRPr="00227BE7">
        <w:rPr>
          <w:color w:val="000000"/>
          <w:sz w:val="28"/>
          <w:szCs w:val="28"/>
        </w:rPr>
        <w:t>на підставі земельних торгів (аукціонів).</w:t>
      </w:r>
    </w:p>
    <w:p w:rsidR="00367D62" w:rsidRPr="00091136" w:rsidRDefault="00367D62" w:rsidP="00367D62">
      <w:pPr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Оформлення паспорта прив’язки </w:t>
      </w:r>
      <w:r w:rsidRPr="00227BE7">
        <w:rPr>
          <w:color w:val="000000"/>
          <w:sz w:val="28"/>
          <w:szCs w:val="28"/>
        </w:rPr>
        <w:t xml:space="preserve">тимчасової споруди (ТС) для провадження підприємницької діяльності здійснюється згідно процедури надання </w:t>
      </w:r>
      <w:proofErr w:type="spellStart"/>
      <w:r w:rsidRPr="00227BE7">
        <w:rPr>
          <w:color w:val="000000"/>
          <w:sz w:val="28"/>
          <w:szCs w:val="28"/>
        </w:rPr>
        <w:t>адмінпослуги</w:t>
      </w:r>
      <w:proofErr w:type="spellEnd"/>
      <w:r w:rsidRPr="00227BE7">
        <w:rPr>
          <w:color w:val="000000"/>
          <w:sz w:val="28"/>
          <w:szCs w:val="28"/>
        </w:rPr>
        <w:t xml:space="preserve"> відділом містобудування та земельних відносин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колиш</w:t>
      </w:r>
      <w:proofErr w:type="spellEnd"/>
      <w:r>
        <w:rPr>
          <w:color w:val="000000"/>
          <w:sz w:val="28"/>
          <w:szCs w:val="28"/>
        </w:rPr>
        <w:t xml:space="preserve">. відділ містобудування та архітектури міськвиконкому) </w:t>
      </w:r>
      <w:r w:rsidRPr="00227BE7">
        <w:rPr>
          <w:color w:val="000000"/>
          <w:sz w:val="28"/>
          <w:szCs w:val="28"/>
        </w:rPr>
        <w:t xml:space="preserve">через Центр надання адміністративних послуг в місті Нововолинську, куди повинен звернутись заявник з відповідною заявою. </w:t>
      </w:r>
      <w:r>
        <w:rPr>
          <w:color w:val="000000"/>
          <w:sz w:val="28"/>
          <w:szCs w:val="28"/>
        </w:rPr>
        <w:t xml:space="preserve">  </w:t>
      </w:r>
      <w:r w:rsidRPr="00227BE7">
        <w:rPr>
          <w:color w:val="000000"/>
          <w:sz w:val="28"/>
          <w:szCs w:val="28"/>
        </w:rPr>
        <w:t>До заяви додаються графічні матеріали із зазначенням бажаного місця розташування ТС, виконані на топографо-геодезичній основі, кресленнями контурів ТС з прив'язкою до місцевості. реквізити замовника</w:t>
      </w:r>
      <w:r w:rsidRPr="00091136">
        <w:rPr>
          <w:color w:val="000000"/>
          <w:sz w:val="28"/>
          <w:szCs w:val="28"/>
        </w:rPr>
        <w:t xml:space="preserve"> (найменування, П.І.Б., адреса</w:t>
      </w:r>
      <w:r>
        <w:rPr>
          <w:color w:val="000000"/>
          <w:sz w:val="28"/>
          <w:szCs w:val="28"/>
        </w:rPr>
        <w:t xml:space="preserve"> та </w:t>
      </w:r>
      <w:r w:rsidRPr="00091136">
        <w:rPr>
          <w:color w:val="000000"/>
          <w:sz w:val="28"/>
          <w:szCs w:val="28"/>
        </w:rPr>
        <w:t xml:space="preserve"> контактна інформація).</w:t>
      </w:r>
    </w:p>
    <w:p w:rsidR="00367D62" w:rsidRPr="009C4ECA" w:rsidRDefault="00367D62" w:rsidP="00367D62">
      <w:pPr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Протягом останніх 5 років відділом містобудування та архітектури видано паспортів прив’язки на</w:t>
      </w:r>
      <w:r w:rsidRPr="009C4ECA">
        <w:rPr>
          <w:color w:val="000000"/>
          <w:sz w:val="28"/>
          <w:szCs w:val="28"/>
        </w:rPr>
        <w:t xml:space="preserve"> </w:t>
      </w:r>
      <w:r w:rsidRPr="00C551DA">
        <w:rPr>
          <w:sz w:val="28"/>
          <w:szCs w:val="28"/>
        </w:rPr>
        <w:t>розміщення тимчасових споруд для провадження підприємницької діяльності</w:t>
      </w:r>
      <w:r w:rsidRPr="009C4ECA">
        <w:rPr>
          <w:color w:val="000000"/>
          <w:sz w:val="28"/>
          <w:szCs w:val="28"/>
        </w:rPr>
        <w:t xml:space="preserve"> в місті Нововолинську</w:t>
      </w:r>
      <w:r>
        <w:rPr>
          <w:color w:val="000000"/>
          <w:sz w:val="28"/>
          <w:szCs w:val="28"/>
        </w:rPr>
        <w:t>, а саме:</w:t>
      </w:r>
      <w:r w:rsidRPr="009C4ECA">
        <w:rPr>
          <w:color w:val="000000"/>
          <w:sz w:val="28"/>
          <w:szCs w:val="28"/>
        </w:rPr>
        <w:t xml:space="preserve">   </w:t>
      </w:r>
    </w:p>
    <w:p w:rsidR="00367D62" w:rsidRPr="0062139E" w:rsidRDefault="00367D62" w:rsidP="00367D62">
      <w:pPr>
        <w:pStyle w:val="3"/>
        <w:spacing w:after="0"/>
        <w:ind w:left="0" w:firstLine="426"/>
        <w:jc w:val="both"/>
        <w:rPr>
          <w:b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2"/>
        <w:gridCol w:w="1117"/>
        <w:gridCol w:w="1117"/>
        <w:gridCol w:w="1117"/>
        <w:gridCol w:w="1253"/>
        <w:gridCol w:w="1252"/>
      </w:tblGrid>
      <w:tr w:rsidR="00367D62" w:rsidRPr="0010251B" w:rsidTr="0067316D">
        <w:tc>
          <w:tcPr>
            <w:tcW w:w="4020" w:type="dxa"/>
          </w:tcPr>
          <w:p w:rsidR="00367D62" w:rsidRPr="0010251B" w:rsidRDefault="00367D62" w:rsidP="006731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7D62" w:rsidRPr="0010251B" w:rsidRDefault="00367D62" w:rsidP="00673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р.</w:t>
            </w:r>
          </w:p>
        </w:tc>
        <w:tc>
          <w:tcPr>
            <w:tcW w:w="1134" w:type="dxa"/>
          </w:tcPr>
          <w:p w:rsidR="00367D62" w:rsidRPr="0010251B" w:rsidRDefault="00367D62" w:rsidP="00673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р.</w:t>
            </w:r>
          </w:p>
        </w:tc>
        <w:tc>
          <w:tcPr>
            <w:tcW w:w="1134" w:type="dxa"/>
          </w:tcPr>
          <w:p w:rsidR="00367D62" w:rsidRDefault="00367D62" w:rsidP="00673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</w:tc>
        <w:tc>
          <w:tcPr>
            <w:tcW w:w="1277" w:type="dxa"/>
          </w:tcPr>
          <w:p w:rsidR="00367D62" w:rsidRDefault="00367D62" w:rsidP="00673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р.</w:t>
            </w:r>
          </w:p>
        </w:tc>
        <w:tc>
          <w:tcPr>
            <w:tcW w:w="1276" w:type="dxa"/>
          </w:tcPr>
          <w:p w:rsidR="00367D62" w:rsidRDefault="00367D62" w:rsidP="00673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р.</w:t>
            </w:r>
          </w:p>
        </w:tc>
      </w:tr>
      <w:tr w:rsidR="00367D62" w:rsidRPr="0010251B" w:rsidTr="0067316D">
        <w:tc>
          <w:tcPr>
            <w:tcW w:w="4020" w:type="dxa"/>
          </w:tcPr>
          <w:p w:rsidR="00367D62" w:rsidRPr="0010251B" w:rsidRDefault="00367D62" w:rsidP="0067316D">
            <w:pPr>
              <w:ind w:left="85"/>
              <w:rPr>
                <w:sz w:val="28"/>
                <w:szCs w:val="28"/>
              </w:rPr>
            </w:pPr>
            <w:r w:rsidRPr="004A5E36">
              <w:rPr>
                <w:color w:val="000000"/>
                <w:sz w:val="28"/>
                <w:szCs w:val="28"/>
              </w:rPr>
              <w:t>Паспорти прив’язки</w:t>
            </w:r>
            <w:r w:rsidRPr="0010251B">
              <w:rPr>
                <w:color w:val="000000"/>
                <w:sz w:val="28"/>
                <w:szCs w:val="28"/>
              </w:rPr>
              <w:t xml:space="preserve"> тимчасової споруди для провадження підприємницької діяльності</w:t>
            </w:r>
            <w:r>
              <w:rPr>
                <w:color w:val="000000"/>
                <w:sz w:val="28"/>
                <w:szCs w:val="28"/>
              </w:rPr>
              <w:t xml:space="preserve">/ внесення змін до паспорта прив’язки,  шт.  </w:t>
            </w:r>
          </w:p>
        </w:tc>
        <w:tc>
          <w:tcPr>
            <w:tcW w:w="1134" w:type="dxa"/>
          </w:tcPr>
          <w:p w:rsidR="00367D62" w:rsidRPr="0010251B" w:rsidRDefault="00367D62" w:rsidP="00673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67D62" w:rsidRPr="00430A8F" w:rsidRDefault="00367D62" w:rsidP="00673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67D62" w:rsidRDefault="00367D62" w:rsidP="00673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367D62" w:rsidRDefault="00367D62" w:rsidP="00673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367D62" w:rsidRDefault="00367D62" w:rsidP="00673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7D62" w:rsidRPr="00F378AB" w:rsidRDefault="00367D62" w:rsidP="00367D62">
      <w:pPr>
        <w:spacing w:before="60"/>
        <w:ind w:firstLine="425"/>
        <w:jc w:val="both"/>
        <w:rPr>
          <w:color w:val="000000"/>
          <w:sz w:val="28"/>
          <w:szCs w:val="28"/>
        </w:rPr>
      </w:pPr>
      <w:r w:rsidRPr="00F378AB">
        <w:rPr>
          <w:color w:val="000000"/>
          <w:sz w:val="28"/>
          <w:szCs w:val="28"/>
        </w:rPr>
        <w:t>Станом на початок 2021 року на території міста Нововолинська розміщено:</w:t>
      </w:r>
    </w:p>
    <w:p w:rsidR="00367D62" w:rsidRPr="00F378AB" w:rsidRDefault="00367D62" w:rsidP="00367D62">
      <w:pPr>
        <w:pStyle w:val="a3"/>
        <w:spacing w:before="0"/>
        <w:ind w:firstLine="426"/>
        <w:rPr>
          <w:b w:val="0"/>
          <w:color w:val="000000"/>
          <w:sz w:val="16"/>
          <w:szCs w:val="16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5"/>
        <w:gridCol w:w="842"/>
      </w:tblGrid>
      <w:tr w:rsidR="00367D62" w:rsidRPr="00257A8F" w:rsidTr="0067316D">
        <w:tc>
          <w:tcPr>
            <w:tcW w:w="9072" w:type="dxa"/>
          </w:tcPr>
          <w:p w:rsidR="00367D62" w:rsidRPr="00257A8F" w:rsidRDefault="00367D62" w:rsidP="0067316D">
            <w:pPr>
              <w:pStyle w:val="a3"/>
              <w:spacing w:before="0"/>
              <w:ind w:left="34"/>
              <w:jc w:val="left"/>
              <w:rPr>
                <w:rFonts w:eastAsia="Calibri"/>
                <w:b w:val="0"/>
                <w:color w:val="000000"/>
                <w:szCs w:val="28"/>
                <w:lang w:eastAsia="uk-UA"/>
              </w:rPr>
            </w:pPr>
            <w:r w:rsidRPr="00257A8F">
              <w:rPr>
                <w:rFonts w:eastAsia="Calibri"/>
                <w:b w:val="0"/>
                <w:color w:val="000000"/>
                <w:szCs w:val="28"/>
              </w:rPr>
              <w:t>Стаціонарних тимчасових споруд (</w:t>
            </w:r>
            <w:proofErr w:type="spellStart"/>
            <w:r w:rsidRPr="00257A8F">
              <w:rPr>
                <w:rFonts w:eastAsia="Calibri"/>
                <w:b w:val="0"/>
                <w:color w:val="000000"/>
                <w:szCs w:val="28"/>
              </w:rPr>
              <w:t>МАФ</w:t>
            </w:r>
            <w:proofErr w:type="spellEnd"/>
            <w:r w:rsidRPr="00257A8F">
              <w:rPr>
                <w:rFonts w:eastAsia="Calibri"/>
                <w:b w:val="0"/>
                <w:color w:val="000000"/>
                <w:szCs w:val="28"/>
              </w:rPr>
              <w:t xml:space="preserve">, павільйонів, кіосків і т.п.), які розташовані на комунальній території  в  м.  Нововолинську  </w:t>
            </w:r>
          </w:p>
        </w:tc>
        <w:tc>
          <w:tcPr>
            <w:tcW w:w="851" w:type="dxa"/>
          </w:tcPr>
          <w:p w:rsidR="00367D62" w:rsidRPr="00257A8F" w:rsidRDefault="00367D62" w:rsidP="0067316D">
            <w:pPr>
              <w:pStyle w:val="a3"/>
              <w:spacing w:before="0"/>
              <w:ind w:firstLine="34"/>
              <w:jc w:val="center"/>
              <w:rPr>
                <w:rFonts w:eastAsia="Calibri"/>
                <w:b w:val="0"/>
                <w:color w:val="000000"/>
                <w:szCs w:val="28"/>
                <w:lang w:eastAsia="uk-UA"/>
              </w:rPr>
            </w:pPr>
            <w:r w:rsidRPr="00257A8F">
              <w:rPr>
                <w:rFonts w:eastAsia="Calibri"/>
                <w:b w:val="0"/>
                <w:color w:val="000000"/>
                <w:szCs w:val="28"/>
              </w:rPr>
              <w:t>45</w:t>
            </w:r>
          </w:p>
        </w:tc>
      </w:tr>
      <w:tr w:rsidR="00367D62" w:rsidRPr="00257A8F" w:rsidTr="0067316D">
        <w:tc>
          <w:tcPr>
            <w:tcW w:w="9072" w:type="dxa"/>
          </w:tcPr>
          <w:p w:rsidR="00367D62" w:rsidRPr="00257A8F" w:rsidRDefault="00367D62" w:rsidP="0067316D">
            <w:pPr>
              <w:pStyle w:val="a3"/>
              <w:spacing w:before="0"/>
              <w:ind w:left="34"/>
              <w:jc w:val="left"/>
              <w:rPr>
                <w:rFonts w:eastAsia="Calibri"/>
                <w:b w:val="0"/>
                <w:color w:val="000000"/>
                <w:szCs w:val="28"/>
                <w:lang w:eastAsia="uk-UA"/>
              </w:rPr>
            </w:pPr>
            <w:r w:rsidRPr="00257A8F">
              <w:rPr>
                <w:rFonts w:eastAsia="Calibri"/>
                <w:b w:val="0"/>
                <w:color w:val="000000"/>
                <w:szCs w:val="28"/>
              </w:rPr>
              <w:t>Стаціонарних тимчасових споруд, яким надано дозволи на встановлення ТС  (</w:t>
            </w:r>
            <w:proofErr w:type="spellStart"/>
            <w:r w:rsidRPr="00257A8F">
              <w:rPr>
                <w:rFonts w:eastAsia="Calibri"/>
                <w:b w:val="0"/>
                <w:color w:val="000000"/>
                <w:szCs w:val="28"/>
              </w:rPr>
              <w:t>МАФ</w:t>
            </w:r>
            <w:proofErr w:type="spellEnd"/>
            <w:r w:rsidRPr="00257A8F">
              <w:rPr>
                <w:rFonts w:eastAsia="Calibri"/>
                <w:b w:val="0"/>
                <w:color w:val="000000"/>
                <w:szCs w:val="28"/>
              </w:rPr>
              <w:t>, павільйонів, кіосків і т.п.) на власній ділянці в  м.  Нововолинську</w:t>
            </w:r>
          </w:p>
        </w:tc>
        <w:tc>
          <w:tcPr>
            <w:tcW w:w="851" w:type="dxa"/>
          </w:tcPr>
          <w:p w:rsidR="00367D62" w:rsidRPr="00257A8F" w:rsidRDefault="00367D62" w:rsidP="0067316D">
            <w:pPr>
              <w:pStyle w:val="a3"/>
              <w:spacing w:before="0"/>
              <w:ind w:firstLine="34"/>
              <w:jc w:val="center"/>
              <w:rPr>
                <w:rFonts w:eastAsia="Calibri"/>
                <w:b w:val="0"/>
                <w:color w:val="000000"/>
                <w:szCs w:val="28"/>
                <w:lang w:eastAsia="uk-UA"/>
              </w:rPr>
            </w:pPr>
            <w:r w:rsidRPr="00257A8F">
              <w:rPr>
                <w:rFonts w:eastAsia="Calibri"/>
                <w:b w:val="0"/>
                <w:color w:val="000000"/>
                <w:szCs w:val="28"/>
              </w:rPr>
              <w:t>11</w:t>
            </w:r>
          </w:p>
        </w:tc>
      </w:tr>
      <w:tr w:rsidR="00367D62" w:rsidRPr="00257A8F" w:rsidTr="0067316D">
        <w:tc>
          <w:tcPr>
            <w:tcW w:w="9072" w:type="dxa"/>
          </w:tcPr>
          <w:p w:rsidR="00367D62" w:rsidRPr="00257A8F" w:rsidRDefault="00367D62" w:rsidP="0067316D">
            <w:pPr>
              <w:pStyle w:val="a3"/>
              <w:spacing w:before="0"/>
              <w:ind w:left="34"/>
              <w:jc w:val="left"/>
              <w:rPr>
                <w:rFonts w:eastAsia="Calibri"/>
                <w:b w:val="0"/>
                <w:color w:val="000000"/>
                <w:szCs w:val="28"/>
                <w:lang w:eastAsia="uk-UA"/>
              </w:rPr>
            </w:pPr>
            <w:r w:rsidRPr="00257A8F">
              <w:rPr>
                <w:rFonts w:eastAsia="Calibri"/>
                <w:b w:val="0"/>
                <w:color w:val="000000"/>
                <w:szCs w:val="28"/>
              </w:rPr>
              <w:t>Стаціонарних тимчасових споруд (</w:t>
            </w:r>
            <w:proofErr w:type="spellStart"/>
            <w:r w:rsidRPr="00257A8F">
              <w:rPr>
                <w:rFonts w:eastAsia="Calibri"/>
                <w:b w:val="0"/>
                <w:color w:val="000000"/>
                <w:szCs w:val="28"/>
              </w:rPr>
              <w:t>МАФ</w:t>
            </w:r>
            <w:proofErr w:type="spellEnd"/>
            <w:r w:rsidRPr="00257A8F">
              <w:rPr>
                <w:rFonts w:eastAsia="Calibri"/>
                <w:b w:val="0"/>
                <w:color w:val="000000"/>
                <w:szCs w:val="28"/>
              </w:rPr>
              <w:t>, павільйонів, кіосків і т.п.), на комунальній території в м. Нововолинську</w:t>
            </w:r>
            <w:r>
              <w:rPr>
                <w:rFonts w:eastAsia="Calibri"/>
                <w:b w:val="0"/>
                <w:color w:val="000000"/>
                <w:szCs w:val="28"/>
              </w:rPr>
              <w:t xml:space="preserve"> </w:t>
            </w:r>
            <w:r w:rsidRPr="00257A8F">
              <w:rPr>
                <w:rFonts w:eastAsia="Calibri"/>
                <w:b w:val="0"/>
                <w:color w:val="000000"/>
                <w:szCs w:val="28"/>
              </w:rPr>
              <w:t>(без підтверд</w:t>
            </w:r>
            <w:r>
              <w:rPr>
                <w:rFonts w:eastAsia="Calibri"/>
                <w:b w:val="0"/>
                <w:color w:val="000000"/>
                <w:szCs w:val="28"/>
              </w:rPr>
              <w:t>же</w:t>
            </w:r>
            <w:r w:rsidRPr="00257A8F">
              <w:rPr>
                <w:rFonts w:eastAsia="Calibri"/>
                <w:b w:val="0"/>
                <w:color w:val="000000"/>
                <w:szCs w:val="28"/>
              </w:rPr>
              <w:t>них документів про плату за користування місцем)</w:t>
            </w:r>
          </w:p>
        </w:tc>
        <w:tc>
          <w:tcPr>
            <w:tcW w:w="851" w:type="dxa"/>
          </w:tcPr>
          <w:p w:rsidR="00367D62" w:rsidRPr="00257A8F" w:rsidRDefault="00367D62" w:rsidP="0067316D">
            <w:pPr>
              <w:pStyle w:val="a3"/>
              <w:spacing w:before="0"/>
              <w:ind w:firstLine="34"/>
              <w:jc w:val="center"/>
              <w:rPr>
                <w:rFonts w:eastAsia="Calibri"/>
                <w:b w:val="0"/>
                <w:color w:val="000000"/>
                <w:szCs w:val="28"/>
                <w:lang w:eastAsia="uk-UA"/>
              </w:rPr>
            </w:pPr>
            <w:r w:rsidRPr="00257A8F">
              <w:rPr>
                <w:rFonts w:eastAsia="Calibri"/>
                <w:b w:val="0"/>
                <w:color w:val="000000"/>
                <w:szCs w:val="28"/>
              </w:rPr>
              <w:t>6</w:t>
            </w:r>
          </w:p>
        </w:tc>
      </w:tr>
      <w:tr w:rsidR="00367D62" w:rsidRPr="00257A8F" w:rsidTr="0067316D">
        <w:tc>
          <w:tcPr>
            <w:tcW w:w="9072" w:type="dxa"/>
          </w:tcPr>
          <w:p w:rsidR="00367D62" w:rsidRPr="00257A8F" w:rsidRDefault="00367D62" w:rsidP="0067316D">
            <w:pPr>
              <w:pStyle w:val="a3"/>
              <w:spacing w:before="0"/>
              <w:ind w:left="34"/>
              <w:jc w:val="left"/>
              <w:rPr>
                <w:rFonts w:eastAsia="Calibri"/>
                <w:b w:val="0"/>
                <w:color w:val="000000"/>
                <w:szCs w:val="28"/>
                <w:lang w:eastAsia="uk-UA"/>
              </w:rPr>
            </w:pPr>
            <w:r w:rsidRPr="00257A8F">
              <w:rPr>
                <w:rFonts w:eastAsia="Calibri"/>
                <w:b w:val="0"/>
                <w:color w:val="000000"/>
                <w:szCs w:val="28"/>
              </w:rPr>
              <w:t>Пересувних тимчасових споруд (пересувних кіосків, літніх майданчиків і т.п.), на комунальній території  в м. Нововолинську</w:t>
            </w:r>
          </w:p>
        </w:tc>
        <w:tc>
          <w:tcPr>
            <w:tcW w:w="851" w:type="dxa"/>
          </w:tcPr>
          <w:p w:rsidR="00367D62" w:rsidRPr="00257A8F" w:rsidRDefault="00367D62" w:rsidP="0067316D">
            <w:pPr>
              <w:pStyle w:val="a3"/>
              <w:spacing w:before="0"/>
              <w:ind w:firstLine="34"/>
              <w:jc w:val="center"/>
              <w:rPr>
                <w:rFonts w:eastAsia="Calibri"/>
                <w:b w:val="0"/>
                <w:color w:val="000000"/>
                <w:szCs w:val="28"/>
                <w:lang w:eastAsia="uk-UA"/>
              </w:rPr>
            </w:pPr>
            <w:r w:rsidRPr="00257A8F">
              <w:rPr>
                <w:rFonts w:eastAsia="Calibri"/>
                <w:b w:val="0"/>
                <w:color w:val="000000"/>
                <w:szCs w:val="28"/>
              </w:rPr>
              <w:t>12</w:t>
            </w:r>
          </w:p>
        </w:tc>
      </w:tr>
    </w:tbl>
    <w:p w:rsidR="00367D62" w:rsidRPr="00F378AB" w:rsidRDefault="00367D62" w:rsidP="00367D62">
      <w:pPr>
        <w:spacing w:before="6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F378AB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0</w:t>
      </w:r>
      <w:r w:rsidRPr="00F378AB">
        <w:rPr>
          <w:color w:val="000000"/>
          <w:sz w:val="28"/>
          <w:szCs w:val="28"/>
        </w:rPr>
        <w:t xml:space="preserve"> ро</w:t>
      </w:r>
      <w:r>
        <w:rPr>
          <w:color w:val="000000"/>
          <w:sz w:val="28"/>
          <w:szCs w:val="28"/>
        </w:rPr>
        <w:t>ці за користування місцями</w:t>
      </w:r>
      <w:r w:rsidRPr="00F378AB">
        <w:rPr>
          <w:color w:val="000000"/>
          <w:sz w:val="28"/>
          <w:szCs w:val="28"/>
        </w:rPr>
        <w:t xml:space="preserve"> </w:t>
      </w:r>
      <w:r w:rsidRPr="00227BE7">
        <w:rPr>
          <w:color w:val="000000"/>
          <w:sz w:val="28"/>
          <w:szCs w:val="28"/>
        </w:rPr>
        <w:t>для розміщення тимчасових споруд</w:t>
      </w:r>
      <w:r w:rsidRPr="00F378AB">
        <w:rPr>
          <w:color w:val="000000"/>
          <w:sz w:val="28"/>
          <w:szCs w:val="28"/>
        </w:rPr>
        <w:t xml:space="preserve"> на території міста Нововолинська</w:t>
      </w:r>
      <w:r>
        <w:rPr>
          <w:color w:val="000000"/>
          <w:sz w:val="28"/>
          <w:szCs w:val="28"/>
        </w:rPr>
        <w:t xml:space="preserve"> підприємцями сплачено до міського бюджету 125,177 тис. грн., в тому числі за оренду земельних ділянок – 56,533 тис.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 xml:space="preserve">, і пайової участі </w:t>
      </w:r>
      <w:r w:rsidRPr="00227BE7">
        <w:rPr>
          <w:color w:val="000000"/>
          <w:sz w:val="28"/>
          <w:szCs w:val="28"/>
        </w:rPr>
        <w:t>в утриманні об'єктів благоустрою</w:t>
      </w:r>
      <w:r>
        <w:rPr>
          <w:color w:val="000000"/>
          <w:sz w:val="28"/>
          <w:szCs w:val="28"/>
        </w:rPr>
        <w:t xml:space="preserve"> – 68,644</w:t>
      </w:r>
      <w:r w:rsidRPr="00E347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тис. грн.  </w:t>
      </w:r>
    </w:p>
    <w:p w:rsidR="00367D62" w:rsidRDefault="00367D62" w:rsidP="00367D62">
      <w:pPr>
        <w:spacing w:before="6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той же час, на території міста було демонтовано</w:t>
      </w:r>
      <w:r w:rsidRPr="00E821DB">
        <w:rPr>
          <w:color w:val="000000"/>
          <w:sz w:val="28"/>
          <w:szCs w:val="28"/>
        </w:rPr>
        <w:t xml:space="preserve"> тимчасов</w:t>
      </w:r>
      <w:r>
        <w:rPr>
          <w:color w:val="000000"/>
          <w:sz w:val="28"/>
          <w:szCs w:val="28"/>
        </w:rPr>
        <w:t>их</w:t>
      </w:r>
      <w:r w:rsidRPr="00E821DB">
        <w:rPr>
          <w:color w:val="000000"/>
          <w:sz w:val="28"/>
          <w:szCs w:val="28"/>
        </w:rPr>
        <w:t xml:space="preserve"> споруд </w:t>
      </w:r>
      <w:r>
        <w:rPr>
          <w:color w:val="000000"/>
          <w:sz w:val="28"/>
          <w:szCs w:val="28"/>
        </w:rPr>
        <w:t xml:space="preserve">(кіосків): у 2018 році – 6 шт., у 2020 році – 4 шт.  </w:t>
      </w:r>
    </w:p>
    <w:p w:rsidR="00367D62" w:rsidRDefault="00367D62" w:rsidP="00367D62">
      <w:pPr>
        <w:ind w:firstLine="426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Станом на лютий 2021 року відділом розроблено схему – пропозиції щодо перспективного розміщення </w:t>
      </w:r>
      <w:r w:rsidRPr="00C551DA">
        <w:rPr>
          <w:sz w:val="28"/>
          <w:szCs w:val="28"/>
        </w:rPr>
        <w:t>тимчасових споруд для провадження підприємницької діяльності</w:t>
      </w:r>
      <w:r w:rsidRPr="009C4ECA">
        <w:rPr>
          <w:color w:val="000000"/>
          <w:sz w:val="28"/>
          <w:szCs w:val="28"/>
        </w:rPr>
        <w:t xml:space="preserve"> в місті Нововолинську</w:t>
      </w:r>
      <w:r>
        <w:rPr>
          <w:color w:val="000000"/>
          <w:sz w:val="28"/>
          <w:szCs w:val="28"/>
        </w:rPr>
        <w:t xml:space="preserve">, яку передано в комісію щодо </w:t>
      </w:r>
      <w:r w:rsidRPr="00457A1F">
        <w:rPr>
          <w:color w:val="000000"/>
          <w:spacing w:val="-10"/>
          <w:sz w:val="28"/>
          <w:szCs w:val="28"/>
        </w:rPr>
        <w:t>розміщення тимчасових споруд та виявлення фактів самочинного будівництва/реконструкції об’єктів</w:t>
      </w:r>
      <w:r>
        <w:rPr>
          <w:color w:val="000000"/>
          <w:spacing w:val="-10"/>
          <w:sz w:val="28"/>
          <w:szCs w:val="28"/>
        </w:rPr>
        <w:t xml:space="preserve">, для вироблення єдиного підходу до надання дозволів для розміщення ТС.  </w:t>
      </w:r>
    </w:p>
    <w:p w:rsidR="00367D62" w:rsidRDefault="00367D62" w:rsidP="00367D62">
      <w:pPr>
        <w:ind w:firstLine="426"/>
        <w:jc w:val="both"/>
        <w:rPr>
          <w:color w:val="000000"/>
          <w:spacing w:val="-10"/>
          <w:sz w:val="28"/>
          <w:szCs w:val="28"/>
        </w:rPr>
      </w:pPr>
    </w:p>
    <w:p w:rsidR="00367D62" w:rsidRDefault="00367D62" w:rsidP="00367D62">
      <w:pPr>
        <w:ind w:firstLine="426"/>
        <w:jc w:val="both"/>
        <w:rPr>
          <w:color w:val="000000"/>
          <w:spacing w:val="-10"/>
          <w:sz w:val="28"/>
          <w:szCs w:val="28"/>
        </w:rPr>
      </w:pPr>
    </w:p>
    <w:p w:rsidR="00367D62" w:rsidRDefault="00367D62" w:rsidP="00367D62">
      <w:pPr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Заступник начальника відділу                                                                               М.В.</w:t>
      </w:r>
      <w:proofErr w:type="spellStart"/>
      <w:r>
        <w:rPr>
          <w:color w:val="000000"/>
          <w:spacing w:val="-10"/>
          <w:sz w:val="28"/>
          <w:szCs w:val="28"/>
        </w:rPr>
        <w:t>Вісьтак</w:t>
      </w:r>
      <w:proofErr w:type="spellEnd"/>
    </w:p>
    <w:p w:rsidR="00367D62" w:rsidRDefault="00367D62" w:rsidP="00367D62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містобудування та земельних відносин</w:t>
      </w:r>
    </w:p>
    <w:p w:rsidR="00367D62" w:rsidRDefault="00367D62"/>
    <w:sectPr w:rsidR="00367D62" w:rsidSect="00BC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E3635"/>
    <w:multiLevelType w:val="hybridMultilevel"/>
    <w:tmpl w:val="A9DAA9B0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A13A7"/>
    <w:rsid w:val="000A443C"/>
    <w:rsid w:val="00164010"/>
    <w:rsid w:val="001646A9"/>
    <w:rsid w:val="001A13A7"/>
    <w:rsid w:val="001C547F"/>
    <w:rsid w:val="002E0BAD"/>
    <w:rsid w:val="00367D62"/>
    <w:rsid w:val="006970CD"/>
    <w:rsid w:val="00714C0C"/>
    <w:rsid w:val="00753EA6"/>
    <w:rsid w:val="00B50E94"/>
    <w:rsid w:val="00BC4659"/>
    <w:rsid w:val="00BD694B"/>
    <w:rsid w:val="00D90ADE"/>
    <w:rsid w:val="00E4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A13A7"/>
    <w:pPr>
      <w:spacing w:before="360"/>
      <w:jc w:val="both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A13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">
    <w:name w:val="заголовок 4"/>
    <w:basedOn w:val="a"/>
    <w:next w:val="a"/>
    <w:rsid w:val="001A13A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5">
    <w:name w:val="Title"/>
    <w:basedOn w:val="a"/>
    <w:next w:val="a"/>
    <w:link w:val="a6"/>
    <w:qFormat/>
    <w:rsid w:val="001A13A7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6">
    <w:name w:val="Название Знак"/>
    <w:basedOn w:val="a0"/>
    <w:link w:val="a5"/>
    <w:rsid w:val="001A13A7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Subtitle"/>
    <w:basedOn w:val="a"/>
    <w:link w:val="a8"/>
    <w:qFormat/>
    <w:rsid w:val="001A13A7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1A13A7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A13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13A7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67D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67D6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5443</Words>
  <Characters>3104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5</cp:revision>
  <cp:lastPrinted>2021-03-22T05:58:00Z</cp:lastPrinted>
  <dcterms:created xsi:type="dcterms:W3CDTF">2021-03-19T10:44:00Z</dcterms:created>
  <dcterms:modified xsi:type="dcterms:W3CDTF">2021-03-22T05:58:00Z</dcterms:modified>
</cp:coreProperties>
</file>