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664610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443" w:rsidRPr="00416D2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промисловості, підприємництва, інвестицій та </w:t>
      </w:r>
      <w:r w:rsidR="003C6443">
        <w:rPr>
          <w:rFonts w:ascii="Times New Roman" w:eastAsia="Times New Roman" w:hAnsi="Times New Roman" w:cs="Times New Roman"/>
          <w:b/>
          <w:sz w:val="28"/>
          <w:szCs w:val="28"/>
        </w:rPr>
        <w:t>міжнародного співробітництва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BC5C2E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6461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4610"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D60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3E784F" w:rsidRDefault="003E784F" w:rsidP="003E784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</w:t>
      </w:r>
      <w:r w:rsidR="00A871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C2E" w:rsidRPr="00BC5C2E" w:rsidRDefault="00BC5C2E" w:rsidP="00BC5C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О.С. </w:t>
      </w: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3C6443" w:rsidRDefault="003C6443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  <w:r w:rsidR="00B23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C2E" w:rsidRPr="00BC5C2E" w:rsidRDefault="00BC5C2E" w:rsidP="00BC5C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Ю.М. </w:t>
      </w: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член комісії</w:t>
      </w:r>
    </w:p>
    <w:p w:rsidR="00A627F9" w:rsidRDefault="00A627F9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272643" w:rsidRDefault="00BC5C2E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D60D23">
        <w:tc>
          <w:tcPr>
            <w:tcW w:w="2127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6443" w:rsidTr="00D60D23">
        <w:tc>
          <w:tcPr>
            <w:tcW w:w="2127" w:type="dxa"/>
            <w:shd w:val="clear" w:color="auto" w:fill="FFFFFF" w:themeFill="background1"/>
          </w:tcPr>
          <w:p w:rsidR="003C6443" w:rsidRDefault="00D60D23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E784F" w:rsidRDefault="00D60D23" w:rsidP="003F53E9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3F53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55D30" w:rsidTr="00D60D23">
        <w:tc>
          <w:tcPr>
            <w:tcW w:w="2127" w:type="dxa"/>
            <w:shd w:val="clear" w:color="auto" w:fill="FFFFFF" w:themeFill="background1"/>
          </w:tcPr>
          <w:p w:rsidR="00355D30" w:rsidRDefault="00355D30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Лефтер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55D30" w:rsidRDefault="00355D30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органів;</w:t>
            </w:r>
          </w:p>
        </w:tc>
      </w:tr>
      <w:tr w:rsidR="003E784F" w:rsidTr="00D60D23">
        <w:tc>
          <w:tcPr>
            <w:tcW w:w="2127" w:type="dxa"/>
            <w:shd w:val="clear" w:color="auto" w:fill="FFFFFF" w:themeFill="background1"/>
          </w:tcPr>
          <w:p w:rsidR="003E784F" w:rsidRDefault="003E784F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О.О. Новікова </w:t>
            </w:r>
          </w:p>
          <w:p w:rsidR="003554CD" w:rsidRDefault="003554CD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4CD" w:rsidRDefault="003554CD" w:rsidP="003554C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Сєргєєва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E784F" w:rsidRDefault="003E784F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  <w:r w:rsidR="00B232F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554CD" w:rsidRDefault="003554CD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554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начальник відділу  проектної діяльності  та інвестицій</w:t>
            </w:r>
          </w:p>
        </w:tc>
      </w:tr>
      <w:tr w:rsidR="003554CD" w:rsidTr="00D60D23">
        <w:tc>
          <w:tcPr>
            <w:tcW w:w="2127" w:type="dxa"/>
            <w:shd w:val="clear" w:color="auto" w:fill="FFFFFF" w:themeFill="background1"/>
          </w:tcPr>
          <w:p w:rsidR="003554CD" w:rsidRDefault="003554CD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3554CD" w:rsidRDefault="003554CD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851"/>
        <w:gridCol w:w="8789"/>
      </w:tblGrid>
      <w:tr w:rsidR="00664610" w:rsidRPr="00664610" w:rsidTr="0057533D">
        <w:tc>
          <w:tcPr>
            <w:tcW w:w="851" w:type="dxa"/>
            <w:shd w:val="clear" w:color="auto" w:fill="auto"/>
          </w:tcPr>
          <w:p w:rsidR="00664610" w:rsidRPr="00664610" w:rsidRDefault="00664610" w:rsidP="00664610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64610" w:rsidRPr="00664610" w:rsidRDefault="00664610" w:rsidP="00664610">
            <w:pPr>
              <w:spacing w:after="0" w:line="300" w:lineRule="exact"/>
              <w:ind w:right="14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646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2020 року №2/44 «Про бюджет міської територіальної громади  м. Нововолинська  на 2021 рік»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64610" w:rsidRPr="00664610" w:rsidTr="0057533D">
        <w:tc>
          <w:tcPr>
            <w:tcW w:w="851" w:type="dxa"/>
            <w:shd w:val="clear" w:color="auto" w:fill="auto"/>
          </w:tcPr>
          <w:p w:rsidR="00664610" w:rsidRPr="00664610" w:rsidRDefault="00664610" w:rsidP="00664610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64610" w:rsidRPr="00664610" w:rsidRDefault="00664610" w:rsidP="00664610">
            <w:pPr>
              <w:spacing w:after="0" w:line="300" w:lineRule="exact"/>
              <w:ind w:hanging="3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646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 бюджет Нововолинської міської територіальної громади </w:t>
            </w:r>
            <w:r w:rsidRPr="006646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646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2022 рік. </w:t>
            </w:r>
            <w:r w:rsidRPr="006646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               </w:t>
            </w:r>
          </w:p>
        </w:tc>
      </w:tr>
      <w:tr w:rsidR="00664610" w:rsidRPr="00664610" w:rsidTr="0057533D">
        <w:tc>
          <w:tcPr>
            <w:tcW w:w="851" w:type="dxa"/>
            <w:shd w:val="clear" w:color="auto" w:fill="auto"/>
          </w:tcPr>
          <w:p w:rsidR="00664610" w:rsidRPr="00664610" w:rsidRDefault="00664610" w:rsidP="00664610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64610" w:rsidRPr="008119CB" w:rsidRDefault="00664610" w:rsidP="00664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Плану дій із впровадження Європейської Енергетичної Відзнаки у місті Нововолинську.</w:t>
            </w:r>
          </w:p>
        </w:tc>
      </w:tr>
      <w:tr w:rsidR="00664610" w:rsidRPr="00664610" w:rsidTr="0057533D">
        <w:tc>
          <w:tcPr>
            <w:tcW w:w="851" w:type="dxa"/>
            <w:shd w:val="clear" w:color="auto" w:fill="auto"/>
          </w:tcPr>
          <w:p w:rsidR="00664610" w:rsidRPr="00664610" w:rsidRDefault="00664610" w:rsidP="00664610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664610" w:rsidRPr="00664610" w:rsidRDefault="00664610" w:rsidP="0066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Плану </w:t>
            </w:r>
            <w:proofErr w:type="spell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дій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сталого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енергетичного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клімату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2030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664610" w:rsidRPr="00664610" w:rsidTr="0057533D">
        <w:tc>
          <w:tcPr>
            <w:tcW w:w="851" w:type="dxa"/>
            <w:shd w:val="clear" w:color="auto" w:fill="auto"/>
          </w:tcPr>
          <w:p w:rsidR="00664610" w:rsidRPr="00664610" w:rsidRDefault="00664610" w:rsidP="00664610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664610" w:rsidRPr="00664610" w:rsidRDefault="00664610" w:rsidP="0066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на перше </w:t>
            </w:r>
            <w:proofErr w:type="spellStart"/>
            <w:proofErr w:type="gramStart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2022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664610" w:rsidRPr="00664610" w:rsidRDefault="00664610" w:rsidP="0066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ab/>
            </w:r>
            <w:r w:rsidRPr="006646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ab/>
            </w:r>
          </w:p>
        </w:tc>
      </w:tr>
    </w:tbl>
    <w:p w:rsidR="00C80474" w:rsidRDefault="00C80474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474" w:rsidRDefault="00C80474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BC5C2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A0E0B">
        <w:rPr>
          <w:rFonts w:ascii="Times New Roman" w:hAnsi="Times New Roman" w:cs="Times New Roman"/>
          <w:sz w:val="28"/>
          <w:szCs w:val="28"/>
        </w:rPr>
        <w:t>ухали: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3E784F">
        <w:rPr>
          <w:rFonts w:ascii="Times New Roman" w:hAnsi="Times New Roman" w:cs="Times New Roman"/>
          <w:sz w:val="28"/>
          <w:szCs w:val="28"/>
        </w:rPr>
        <w:t>Бадзюн</w:t>
      </w:r>
      <w:proofErr w:type="spellEnd"/>
      <w:r w:rsidR="003E784F">
        <w:rPr>
          <w:rFonts w:ascii="Times New Roman" w:hAnsi="Times New Roman" w:cs="Times New Roman"/>
          <w:sz w:val="28"/>
          <w:szCs w:val="28"/>
        </w:rPr>
        <w:t xml:space="preserve">ь Б.М., голова </w:t>
      </w:r>
      <w:r w:rsidR="00FA0E0B">
        <w:rPr>
          <w:rFonts w:ascii="Times New Roman" w:hAnsi="Times New Roman" w:cs="Times New Roman"/>
          <w:sz w:val="28"/>
          <w:szCs w:val="28"/>
        </w:rPr>
        <w:t>постійної комісії,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7D5DBB" w:rsidRDefault="007D5DB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BC5C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A627F9" w:rsidRDefault="00A627F9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D60D23" w:rsidRPr="00392B9E" w:rsidTr="00B93570">
        <w:tc>
          <w:tcPr>
            <w:tcW w:w="2616" w:type="dxa"/>
          </w:tcPr>
          <w:p w:rsidR="00D60D23" w:rsidRPr="00392B9E" w:rsidRDefault="00D60D23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D60D23" w:rsidRPr="00392B9E" w:rsidRDefault="00D60D23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D60D23" w:rsidRPr="00392B9E" w:rsidRDefault="00102FB9" w:rsidP="00B23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B9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23 грудня 2020 року №2/44 «Про бюджет міської територіальної громади  м. Нововолинська  на 2021 рік»</w:t>
            </w:r>
          </w:p>
        </w:tc>
      </w:tr>
      <w:tr w:rsidR="00D60D23" w:rsidTr="00B93570">
        <w:tc>
          <w:tcPr>
            <w:tcW w:w="2616" w:type="dxa"/>
          </w:tcPr>
          <w:p w:rsidR="00D60D23" w:rsidRPr="00C23901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73" w:type="dxa"/>
          </w:tcPr>
          <w:p w:rsidR="00D60D23" w:rsidRDefault="00D60D23" w:rsidP="005C44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управління.</w:t>
            </w:r>
          </w:p>
        </w:tc>
      </w:tr>
      <w:tr w:rsidR="00D60D23" w:rsidTr="00B93570">
        <w:tc>
          <w:tcPr>
            <w:tcW w:w="2616" w:type="dxa"/>
          </w:tcPr>
          <w:p w:rsidR="00D60D23" w:rsidRPr="00E63B45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D60D23" w:rsidRPr="00E63B45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D60D23" w:rsidRPr="00E63B45" w:rsidRDefault="00D60D23" w:rsidP="00102FB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A871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</w:t>
            </w:r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="00102FB9" w:rsidRPr="00102FB9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 до рішення міської ради від 23 грудня 2020 року №2/44 «Про бюджет міської територіальної громади  м. Нововолинська  на 2021 рік»</w:t>
            </w:r>
            <w:r w:rsidRPr="00E63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60D23" w:rsidTr="00B93570">
        <w:tc>
          <w:tcPr>
            <w:tcW w:w="2616" w:type="dxa"/>
          </w:tcPr>
          <w:p w:rsidR="00D60D23" w:rsidRDefault="00D60D23" w:rsidP="005C440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D60D23" w:rsidRDefault="00D60D23" w:rsidP="003972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3972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D60D23" w:rsidTr="00B93570">
        <w:tc>
          <w:tcPr>
            <w:tcW w:w="2616" w:type="dxa"/>
          </w:tcPr>
          <w:p w:rsidR="00D60D23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D60D23" w:rsidRPr="0070047B" w:rsidRDefault="00D60D23" w:rsidP="00F80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92B9E" w:rsidRPr="00392B9E" w:rsidTr="00B93570">
        <w:tc>
          <w:tcPr>
            <w:tcW w:w="2616" w:type="dxa"/>
          </w:tcPr>
          <w:p w:rsidR="00392B9E" w:rsidRPr="00392B9E" w:rsidRDefault="00392B9E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392B9E" w:rsidRPr="00392B9E" w:rsidRDefault="00392B9E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392B9E" w:rsidRPr="003972AF" w:rsidTr="00B93570">
        <w:tc>
          <w:tcPr>
            <w:tcW w:w="2616" w:type="dxa"/>
          </w:tcPr>
          <w:p w:rsidR="00392B9E" w:rsidRPr="003972AF" w:rsidRDefault="00392B9E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AF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273" w:type="dxa"/>
          </w:tcPr>
          <w:p w:rsidR="00392B9E" w:rsidRPr="003972AF" w:rsidRDefault="00102FB9" w:rsidP="003972AF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2FB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бюджет Нововолинської міської територіальної громади  на 2022 рік.</w:t>
            </w:r>
          </w:p>
        </w:tc>
      </w:tr>
      <w:tr w:rsidR="00392B9E" w:rsidTr="00B93570">
        <w:tc>
          <w:tcPr>
            <w:tcW w:w="2616" w:type="dxa"/>
          </w:tcPr>
          <w:p w:rsidR="00392B9E" w:rsidRDefault="00392B9E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392B9E" w:rsidRDefault="006C4437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Г.В. – начальник фінансового управління.</w:t>
            </w:r>
          </w:p>
        </w:tc>
      </w:tr>
      <w:tr w:rsidR="007867FF" w:rsidTr="00B93570">
        <w:tc>
          <w:tcPr>
            <w:tcW w:w="9889" w:type="dxa"/>
            <w:gridSpan w:val="2"/>
          </w:tcPr>
          <w:p w:rsidR="007867FF" w:rsidRDefault="007867FF" w:rsidP="00B93570">
            <w:pPr>
              <w:ind w:left="2694" w:hanging="269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r w:rsidR="00B9357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Бадзюня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  цікавило питання щодо бюджетних </w:t>
            </w:r>
            <w:r w:rsidR="00B935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запитів;</w:t>
            </w:r>
          </w:p>
          <w:p w:rsidR="007867FF" w:rsidRDefault="007867FF" w:rsidP="008119C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</w:t>
            </w:r>
            <w:r w:rsidR="00B935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Г.В. повідомила, що в першу чергу виплачується заробітна плата і захищені статті, і розпорядники бюджетних коштів подають листи-запити і на підставі тих листів розподіляються кошти, всі запити є на сайті міської ради; </w:t>
            </w:r>
          </w:p>
          <w:p w:rsidR="007867FF" w:rsidRDefault="007867FF" w:rsidP="008119C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 цікавило питання закупівлі квартир для дітей-сиріт, щодо обмеження на продаж і відчуження квартир;  </w:t>
            </w:r>
          </w:p>
          <w:p w:rsidR="007867FF" w:rsidRDefault="007867FF" w:rsidP="00BE19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телефонному режимі  </w:t>
            </w:r>
            <w:r w:rsidRPr="00685B05">
              <w:rPr>
                <w:rFonts w:ascii="Times New Roman" w:hAnsi="Times New Roman" w:cs="Times New Roman"/>
                <w:iCs/>
                <w:sz w:val="28"/>
                <w:szCs w:val="28"/>
              </w:rPr>
              <w:t>начальник відділу служби справ дітей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І.О. повідомила, що 700 тис. грн. – це кошти місцевого бюджету для закупівлі квартир для дітей-сиріт, дітей, позбавлених батьківського піклування та осіб з їх числа; це соціальне житло, надаються квартири в порядку черговості, яку веде юридичний відділ виконкому, ставить їх на облік; це соціальне житло передається на баланс ЖКО; проживають діти  поки є потреба, поки не буде мати власне житло, вони надають довідку, що не мають власного житла і проживають далі;  на соціальному квартирному обліку перебуває 18 дітей.</w:t>
            </w:r>
          </w:p>
          <w:p w:rsidR="007867FF" w:rsidRDefault="007867FF" w:rsidP="00BE19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</w:t>
            </w:r>
            <w:r w:rsidR="00182FD7">
              <w:rPr>
                <w:rFonts w:ascii="Times New Roman" w:hAnsi="Times New Roman" w:cs="Times New Roman"/>
                <w:iCs/>
                <w:sz w:val="28"/>
                <w:szCs w:val="28"/>
              </w:rPr>
              <w:t>ова</w:t>
            </w:r>
            <w:proofErr w:type="spellEnd"/>
            <w:r w:rsidR="00182F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О.О. цікавило питання щодо визначення квартир, які придбаються для дітей-сиріт, дітей, позбавлених батьківського піклування та осіб з їх числа  та чи задіяна процедура </w:t>
            </w:r>
            <w:r w:rsidR="00BD48E2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="00BD48E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 при купівлі квартири;</w:t>
            </w:r>
          </w:p>
          <w:p w:rsidR="007867FF" w:rsidRDefault="007867FF" w:rsidP="00182F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Думич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І.О. повідомила, що </w:t>
            </w:r>
            <w:r w:rsidR="00BD48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процедура для закупівлі </w:t>
            </w:r>
            <w:r w:rsidR="00BD48E2" w:rsidRPr="00BD48E2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="00BD48E2" w:rsidRPr="00BD48E2">
              <w:rPr>
                <w:rFonts w:ascii="Times New Roman" w:hAnsi="Times New Roman" w:cs="Times New Roman"/>
                <w:iCs/>
                <w:sz w:val="28"/>
                <w:szCs w:val="28"/>
              </w:rPr>
              <w:t>Prozorro</w:t>
            </w:r>
            <w:proofErr w:type="spellEnd"/>
            <w:r w:rsidR="00BD48E2" w:rsidRPr="00BD48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="00BD48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застосовується,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є </w:t>
            </w:r>
            <w:r w:rsidR="00BD48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інша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процедура: подається оголошення на сайт</w:t>
            </w:r>
            <w:r w:rsidR="00182FD7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агенцію</w:t>
            </w:r>
            <w:r w:rsidR="00B87B5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«Нерухомість Нововолинська»</w:t>
            </w:r>
            <w:r w:rsidR="00BD48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та Центр Нерухомості «</w:t>
            </w:r>
            <w:r w:rsidR="00BD48E2" w:rsidRPr="00BD48E2">
              <w:rPr>
                <w:rFonts w:ascii="Times New Roman" w:hAnsi="Times New Roman" w:cs="Times New Roman"/>
                <w:iCs/>
                <w:sz w:val="28"/>
                <w:szCs w:val="28"/>
              </w:rPr>
              <w:t>LESIV"</w:t>
            </w:r>
            <w:r w:rsidR="00B87B50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робиться обстеження </w:t>
            </w:r>
            <w:r w:rsidR="00B87B50">
              <w:rPr>
                <w:rFonts w:ascii="Times New Roman" w:hAnsi="Times New Roman" w:cs="Times New Roman"/>
                <w:iCs/>
                <w:sz w:val="28"/>
                <w:szCs w:val="28"/>
              </w:rPr>
              <w:t>стану утримання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B87B5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квартир і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комісією у справ дитини обирається  кращий варіант.</w:t>
            </w:r>
          </w:p>
        </w:tc>
      </w:tr>
      <w:tr w:rsidR="00392B9E" w:rsidTr="00B93570">
        <w:tc>
          <w:tcPr>
            <w:tcW w:w="2616" w:type="dxa"/>
          </w:tcPr>
          <w:p w:rsidR="00392B9E" w:rsidRDefault="00392B9E" w:rsidP="00392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273" w:type="dxa"/>
          </w:tcPr>
          <w:p w:rsidR="00392B9E" w:rsidRPr="006C4437" w:rsidRDefault="00392B9E" w:rsidP="00102F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A871DF"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</w:t>
            </w:r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="00102FB9" w:rsidRPr="00102FB9">
              <w:rPr>
                <w:rFonts w:ascii="Times New Roman" w:hAnsi="Times New Roman" w:cs="Times New Roman"/>
                <w:iCs/>
                <w:sz w:val="28"/>
                <w:szCs w:val="28"/>
              </w:rPr>
              <w:t>Про бюджет Нововолинської міської територіальної громади  на 2022 рік.</w:t>
            </w:r>
            <w:r w:rsidR="00102FB9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392B9E" w:rsidTr="00B93570">
        <w:tc>
          <w:tcPr>
            <w:tcW w:w="2616" w:type="dxa"/>
          </w:tcPr>
          <w:p w:rsidR="00392B9E" w:rsidRDefault="00392B9E" w:rsidP="001D7EC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392B9E" w:rsidRDefault="00392B9E" w:rsidP="006C44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6C44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392B9E" w:rsidTr="00B93570">
        <w:tc>
          <w:tcPr>
            <w:tcW w:w="2616" w:type="dxa"/>
          </w:tcPr>
          <w:p w:rsidR="00392B9E" w:rsidRDefault="00392B9E" w:rsidP="001D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392B9E" w:rsidRPr="0070047B" w:rsidRDefault="00392B9E" w:rsidP="00F80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80E3A" w:rsidRPr="00392B9E" w:rsidTr="00B93570">
        <w:tc>
          <w:tcPr>
            <w:tcW w:w="2616" w:type="dxa"/>
          </w:tcPr>
          <w:p w:rsidR="00F80E3A" w:rsidRPr="00392B9E" w:rsidRDefault="00F80E3A" w:rsidP="00392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F80E3A" w:rsidRPr="00082985" w:rsidRDefault="00F80E3A" w:rsidP="0039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392B9E" w:rsidRPr="00392B9E" w:rsidTr="00B93570">
        <w:tc>
          <w:tcPr>
            <w:tcW w:w="2616" w:type="dxa"/>
          </w:tcPr>
          <w:p w:rsidR="00392B9E" w:rsidRPr="00392B9E" w:rsidRDefault="00392B9E" w:rsidP="00392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:rsidR="00392B9E" w:rsidRPr="002D2683" w:rsidRDefault="00102FB9" w:rsidP="0039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02FB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затвердження Плану дій із впровадження Європейської Енергетичної Відзнаки у місті Нововолинську.</w:t>
            </w:r>
          </w:p>
        </w:tc>
      </w:tr>
      <w:tr w:rsidR="00392B9E" w:rsidRPr="00ED4385" w:rsidTr="00B93570">
        <w:tc>
          <w:tcPr>
            <w:tcW w:w="2616" w:type="dxa"/>
          </w:tcPr>
          <w:p w:rsidR="00392B9E" w:rsidRPr="00ED4385" w:rsidRDefault="00392B9E" w:rsidP="001D7EC5">
            <w:pPr>
              <w:rPr>
                <w:rFonts w:ascii="Times New Roman" w:hAnsi="Times New Roman"/>
                <w:sz w:val="28"/>
                <w:szCs w:val="28"/>
              </w:rPr>
            </w:pPr>
            <w:r w:rsidRPr="0064360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392B9E" w:rsidRPr="00ED4385" w:rsidRDefault="002D2683" w:rsidP="000446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Сергєєва В.В. – начальник </w:t>
            </w:r>
            <w:r w:rsidR="0004464B">
              <w:rPr>
                <w:rFonts w:ascii="Times New Roman" w:hAnsi="Times New Roman"/>
                <w:iCs/>
                <w:sz w:val="28"/>
                <w:szCs w:val="28"/>
              </w:rPr>
              <w:t>відділу  проектної діяльності  та інвестицій</w:t>
            </w:r>
          </w:p>
        </w:tc>
      </w:tr>
      <w:tr w:rsidR="00D146BD" w:rsidRPr="00ED4385" w:rsidTr="00B93570">
        <w:tc>
          <w:tcPr>
            <w:tcW w:w="9889" w:type="dxa"/>
            <w:gridSpan w:val="2"/>
          </w:tcPr>
          <w:p w:rsidR="00D146BD" w:rsidRDefault="00D146BD" w:rsidP="00D146BD">
            <w:pPr>
              <w:ind w:left="2410" w:hanging="241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ОБГОВОРЕННЯ: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Бадзюня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Б.М. цікавило питання щодо наявності коштів для реалізації Плану дій </w:t>
            </w:r>
            <w:r w:rsidRPr="001F0CFE">
              <w:rPr>
                <w:rFonts w:ascii="Times New Roman" w:hAnsi="Times New Roman" w:cs="Times New Roman"/>
                <w:iCs/>
                <w:sz w:val="28"/>
                <w:szCs w:val="28"/>
              </w:rPr>
              <w:t>із впровадження Європейської Енергетичної Відзнаки у місті Нововолинську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146BD" w:rsidRDefault="00D146BD" w:rsidP="001F0C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Сєргєєва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 повідомила, що просять фінансове управління просять закладати кошти і якщо почне свою роботу Програма, просять кошти виділяти; всі заходи  потрібен для того, щоб при потребі на них можна було </w:t>
            </w:r>
            <w:r w:rsidR="00911800">
              <w:rPr>
                <w:rFonts w:ascii="Times New Roman" w:hAnsi="Times New Roman" w:cs="Times New Roman"/>
                <w:iCs/>
                <w:sz w:val="28"/>
                <w:szCs w:val="28"/>
              </w:rPr>
              <w:t>пос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илатись;</w:t>
            </w:r>
          </w:p>
          <w:p w:rsidR="00D146BD" w:rsidRDefault="00D146BD" w:rsidP="001F0C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 уточнив, що якщо місто буде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сертифіковано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то для надавачів коштів або інвесторів це буде хорошим аргументом;</w:t>
            </w:r>
          </w:p>
          <w:p w:rsidR="00D146BD" w:rsidRDefault="00D146BD" w:rsidP="001F0C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Сєргєєва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 відповіла: так;</w:t>
            </w:r>
          </w:p>
          <w:p w:rsidR="00D146BD" w:rsidRDefault="00D146BD" w:rsidP="00EE79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Бадзюня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 цікавило питання щодо розробки та затвердженні комплексного плану просторового розвитку територій  територіальної громади, генеральних планів населених пунктів, детальних планів територій, їх оновлення та внесення змін до них;</w:t>
            </w:r>
          </w:p>
          <w:p w:rsidR="00D146BD" w:rsidRDefault="00D146BD" w:rsidP="00EE79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Сєргєєва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 цей план як додатковий бонус при заповненні  грантових заявок для участі у конкурсах і програмах;</w:t>
            </w:r>
          </w:p>
          <w:p w:rsidR="00D146BD" w:rsidRDefault="00D146BD" w:rsidP="00EE79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 зауважив, що є два основні завдання: 1) розвитку і фінансування енергоефективності та 2) створення індустріального парку;</w:t>
            </w:r>
          </w:p>
          <w:p w:rsidR="00D146BD" w:rsidRDefault="00D146BD" w:rsidP="00EE79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Сєргєєва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 повідомила, що ці програми стосуються енергоефективності, індустріальний парк под</w:t>
            </w:r>
            <w:r w:rsidR="009118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авали і надалі будемо подавати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 Державний Фонд Регіонального розвитку (ДФРР), але попередньо потрібно мати кошторисну документацію, щоб було більш перспективно, виконком оголошували конкурс на обрання керуючої компанії для індустріального парка, поки ніхто не зголосився;</w:t>
            </w:r>
          </w:p>
          <w:p w:rsidR="00D146BD" w:rsidRPr="0064360A" w:rsidRDefault="00D146BD" w:rsidP="009C44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О.С. зауважив, що був прийнятий З</w:t>
            </w:r>
            <w:r w:rsidR="00911800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кон № 5600</w:t>
            </w:r>
            <w:r w:rsidR="0091180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911800" w:rsidRPr="00911800">
              <w:rPr>
                <w:rFonts w:ascii="Times New Roman" w:hAnsi="Times New Roman"/>
                <w:iCs/>
                <w:sz w:val="28"/>
                <w:szCs w:val="28"/>
              </w:rPr>
              <w:t>про внесення змін до Податкового кодексу України та деяких законодавчих актів України щодо забезпечення збалансованості бюджетних надходжень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яким Нововолинськ має мати пільги для інвестування, зараз проект поданий на підпис Президенту, ще не підписаний, передбачається вступити в дію з 1 січня 2022 року</w:t>
            </w:r>
          </w:p>
        </w:tc>
      </w:tr>
      <w:tr w:rsidR="00392B9E" w:rsidRPr="00ED4385" w:rsidTr="00B93570">
        <w:tc>
          <w:tcPr>
            <w:tcW w:w="2616" w:type="dxa"/>
          </w:tcPr>
          <w:p w:rsidR="00392B9E" w:rsidRPr="00ED4385" w:rsidRDefault="00392B9E" w:rsidP="001D7EC5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273" w:type="dxa"/>
          </w:tcPr>
          <w:p w:rsidR="00392B9E" w:rsidRPr="00ED4385" w:rsidRDefault="00392B9E" w:rsidP="00102F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9D7154"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="00A871DF">
              <w:rPr>
                <w:rFonts w:ascii="Times New Roman" w:hAnsi="Times New Roman"/>
                <w:iCs/>
                <w:sz w:val="28"/>
                <w:szCs w:val="28"/>
              </w:rPr>
              <w:t xml:space="preserve">рекомендувати 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102FB9" w:rsidRPr="00102FB9">
              <w:rPr>
                <w:rFonts w:ascii="Times New Roman" w:hAnsi="Times New Roman"/>
                <w:iCs/>
                <w:sz w:val="28"/>
                <w:szCs w:val="28"/>
              </w:rPr>
              <w:t>Про затвердження Плану дій із впровадження Європейської Енергетичної Відзнаки у місті Нововолинську.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392B9E" w:rsidRPr="00ED4385" w:rsidTr="00B93570">
        <w:tc>
          <w:tcPr>
            <w:tcW w:w="2616" w:type="dxa"/>
          </w:tcPr>
          <w:p w:rsidR="00392B9E" w:rsidRPr="00ED4385" w:rsidRDefault="00392B9E" w:rsidP="001D7EC5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:rsidR="00392B9E" w:rsidRPr="00ED4385" w:rsidRDefault="00392B9E" w:rsidP="008277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8277B5">
              <w:rPr>
                <w:rFonts w:ascii="Times New Roman" w:hAnsi="Times New Roman"/>
                <w:sz w:val="28"/>
                <w:szCs w:val="28"/>
              </w:rPr>
              <w:t>4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 w:rsidR="00B232F9">
              <w:rPr>
                <w:rFonts w:ascii="Times New Roman" w:hAnsi="Times New Roman"/>
                <w:sz w:val="28"/>
                <w:szCs w:val="28"/>
              </w:rPr>
              <w:t>1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92B9E" w:rsidRPr="00ED4385" w:rsidTr="00B93570">
        <w:tc>
          <w:tcPr>
            <w:tcW w:w="2616" w:type="dxa"/>
          </w:tcPr>
          <w:p w:rsidR="00392B9E" w:rsidRPr="00ED4385" w:rsidRDefault="00392B9E" w:rsidP="001D7EC5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392B9E" w:rsidRPr="00ED4385" w:rsidRDefault="00392B9E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277B5" w:rsidRPr="00ED4385" w:rsidTr="00B93570">
        <w:tc>
          <w:tcPr>
            <w:tcW w:w="2616" w:type="dxa"/>
          </w:tcPr>
          <w:p w:rsidR="008277B5" w:rsidRPr="00ED4385" w:rsidRDefault="008277B5" w:rsidP="001D7E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8277B5" w:rsidRPr="00ED4385" w:rsidRDefault="008277B5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277B5" w:rsidRPr="008277B5" w:rsidTr="00B93570">
        <w:tc>
          <w:tcPr>
            <w:tcW w:w="2616" w:type="dxa"/>
          </w:tcPr>
          <w:p w:rsidR="008277B5" w:rsidRPr="008277B5" w:rsidRDefault="008277B5" w:rsidP="008277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77B5">
              <w:rPr>
                <w:rFonts w:ascii="Times New Roman" w:hAnsi="Times New Roman"/>
                <w:b/>
                <w:sz w:val="28"/>
                <w:szCs w:val="28"/>
              </w:rPr>
              <w:t>СЛУХАЛИ: 4.</w:t>
            </w:r>
          </w:p>
        </w:tc>
        <w:tc>
          <w:tcPr>
            <w:tcW w:w="7273" w:type="dxa"/>
          </w:tcPr>
          <w:p w:rsidR="008277B5" w:rsidRPr="008277B5" w:rsidRDefault="00102FB9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02FB9">
              <w:rPr>
                <w:rFonts w:ascii="Times New Roman" w:hAnsi="Times New Roman"/>
                <w:b/>
                <w:iCs/>
                <w:sz w:val="28"/>
                <w:szCs w:val="28"/>
              </w:rPr>
              <w:t>Про затвердження Плану дій зі сталого енергетичного розвитку та клімату Нововолинської міської територіальної громади до 2030 року</w:t>
            </w:r>
          </w:p>
        </w:tc>
      </w:tr>
      <w:tr w:rsidR="008277B5" w:rsidRPr="00ED4385" w:rsidTr="00B93570">
        <w:tc>
          <w:tcPr>
            <w:tcW w:w="2616" w:type="dxa"/>
          </w:tcPr>
          <w:p w:rsidR="008277B5" w:rsidRPr="00ED4385" w:rsidRDefault="008277B5" w:rsidP="001D7E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8277B5" w:rsidRPr="00ED4385" w:rsidRDefault="00102FB9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02FB9">
              <w:rPr>
                <w:rFonts w:ascii="Times New Roman" w:hAnsi="Times New Roman"/>
                <w:iCs/>
                <w:sz w:val="28"/>
                <w:szCs w:val="28"/>
              </w:rPr>
              <w:t>Сергєєва В.В. – начальник відділу  проектної діяльності  та інвестицій</w:t>
            </w:r>
          </w:p>
        </w:tc>
      </w:tr>
      <w:tr w:rsidR="00102FB9" w:rsidRPr="00ED4385" w:rsidTr="00B93570">
        <w:tc>
          <w:tcPr>
            <w:tcW w:w="2616" w:type="dxa"/>
          </w:tcPr>
          <w:p w:rsidR="00102FB9" w:rsidRDefault="00355D30" w:rsidP="001D7E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СПІВДОПОВІДАЧ</w:t>
            </w:r>
            <w:r w:rsidR="00102FB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273" w:type="dxa"/>
          </w:tcPr>
          <w:p w:rsidR="00102FB9" w:rsidRPr="00102FB9" w:rsidRDefault="00355D30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Лефтер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Ю.О. – заступник міського голови з питань діяльності виконавчих органів;</w:t>
            </w:r>
          </w:p>
        </w:tc>
      </w:tr>
      <w:tr w:rsidR="00911800" w:rsidRPr="00ED4385" w:rsidTr="00B93570">
        <w:tc>
          <w:tcPr>
            <w:tcW w:w="2616" w:type="dxa"/>
          </w:tcPr>
          <w:p w:rsidR="00911800" w:rsidRDefault="00911800" w:rsidP="001D7E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911800" w:rsidRDefault="00911800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Б.М.,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О.С.</w:t>
            </w:r>
          </w:p>
        </w:tc>
      </w:tr>
      <w:tr w:rsidR="006E2057" w:rsidRPr="00ED4385" w:rsidTr="00B93570">
        <w:tc>
          <w:tcPr>
            <w:tcW w:w="2616" w:type="dxa"/>
          </w:tcPr>
          <w:p w:rsidR="006E2057" w:rsidRPr="00ED4385" w:rsidRDefault="006E2057" w:rsidP="0058051E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273" w:type="dxa"/>
          </w:tcPr>
          <w:p w:rsidR="006E2057" w:rsidRPr="00ED4385" w:rsidRDefault="008D49C9" w:rsidP="008D49C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D49C9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розглянути на черговій сесії </w:t>
            </w:r>
            <w:proofErr w:type="spellStart"/>
            <w:r w:rsidRPr="008D49C9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8D49C9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«Про затвердження Плану дій зі сталого енергетичного розвитку та клімату Нововолинської міської територіальної громади до 2030 року».</w:t>
            </w:r>
          </w:p>
        </w:tc>
      </w:tr>
      <w:tr w:rsidR="006E2057" w:rsidRPr="00ED4385" w:rsidTr="00B93570">
        <w:tc>
          <w:tcPr>
            <w:tcW w:w="2616" w:type="dxa"/>
          </w:tcPr>
          <w:p w:rsidR="006E2057" w:rsidRPr="00ED4385" w:rsidRDefault="006E2057" w:rsidP="0058051E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6E2057" w:rsidRPr="00ED4385" w:rsidRDefault="006E2057" w:rsidP="005805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2057" w:rsidRPr="00ED4385" w:rsidTr="00B93570">
        <w:tc>
          <w:tcPr>
            <w:tcW w:w="2616" w:type="dxa"/>
          </w:tcPr>
          <w:p w:rsidR="006E2057" w:rsidRPr="00ED4385" w:rsidRDefault="006E2057" w:rsidP="0058051E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6E2057" w:rsidRPr="00ED4385" w:rsidRDefault="006E2057" w:rsidP="00580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102FB9" w:rsidRPr="00ED4385" w:rsidTr="00B93570">
        <w:tc>
          <w:tcPr>
            <w:tcW w:w="2616" w:type="dxa"/>
          </w:tcPr>
          <w:p w:rsidR="00102FB9" w:rsidRPr="00ED4385" w:rsidRDefault="00102FB9" w:rsidP="005805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102FB9" w:rsidRPr="00ED4385" w:rsidRDefault="00102FB9" w:rsidP="00580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8062F" w:rsidRPr="008277B5" w:rsidTr="00B93570">
        <w:tc>
          <w:tcPr>
            <w:tcW w:w="2616" w:type="dxa"/>
          </w:tcPr>
          <w:p w:rsidR="0068062F" w:rsidRPr="008277B5" w:rsidRDefault="0068062F" w:rsidP="006806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77B5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8277B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:rsidR="0068062F" w:rsidRPr="008277B5" w:rsidRDefault="0068062F" w:rsidP="006806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8062F">
              <w:rPr>
                <w:rFonts w:ascii="Times New Roman" w:hAnsi="Times New Roman"/>
                <w:b/>
                <w:iCs/>
                <w:sz w:val="28"/>
                <w:szCs w:val="28"/>
              </w:rPr>
              <w:t>Про план роботи міської ради на перше півріччя 2022 року</w:t>
            </w:r>
          </w:p>
        </w:tc>
      </w:tr>
      <w:tr w:rsidR="0068062F" w:rsidRPr="00ED4385" w:rsidTr="00B93570">
        <w:tc>
          <w:tcPr>
            <w:tcW w:w="2616" w:type="dxa"/>
          </w:tcPr>
          <w:p w:rsidR="0068062F" w:rsidRPr="00ED4385" w:rsidRDefault="0068062F" w:rsidP="008326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68062F" w:rsidRPr="00ED4385" w:rsidRDefault="0068062F" w:rsidP="006806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Шаповал О.С.</w:t>
            </w:r>
            <w:r w:rsidRPr="00102FB9">
              <w:rPr>
                <w:rFonts w:ascii="Times New Roman" w:hAnsi="Times New Roman"/>
                <w:i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секретар ради</w:t>
            </w:r>
          </w:p>
        </w:tc>
      </w:tr>
      <w:tr w:rsidR="0068062F" w:rsidRPr="00ED4385" w:rsidTr="00B93570">
        <w:tc>
          <w:tcPr>
            <w:tcW w:w="2616" w:type="dxa"/>
          </w:tcPr>
          <w:p w:rsidR="0068062F" w:rsidRPr="00ED4385" w:rsidRDefault="0068062F" w:rsidP="008326A1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273" w:type="dxa"/>
          </w:tcPr>
          <w:p w:rsidR="0068062F" w:rsidRPr="00ED4385" w:rsidRDefault="0068062F" w:rsidP="005753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D49C9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розглянути на черговій сесії </w:t>
            </w:r>
            <w:proofErr w:type="spellStart"/>
            <w:r w:rsidRPr="008D49C9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8D49C9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57533D" w:rsidRPr="0057533D">
              <w:rPr>
                <w:rFonts w:ascii="Times New Roman" w:hAnsi="Times New Roman"/>
                <w:iCs/>
                <w:sz w:val="28"/>
                <w:szCs w:val="28"/>
              </w:rPr>
              <w:t>Про план роботи міської ради на перше півріччя 2022 року</w:t>
            </w:r>
            <w:r w:rsidRPr="008D49C9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68062F" w:rsidRPr="00ED4385" w:rsidTr="00B93570">
        <w:tc>
          <w:tcPr>
            <w:tcW w:w="2616" w:type="dxa"/>
          </w:tcPr>
          <w:p w:rsidR="0068062F" w:rsidRPr="00ED4385" w:rsidRDefault="0068062F" w:rsidP="008326A1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68062F" w:rsidRPr="00ED4385" w:rsidRDefault="0068062F" w:rsidP="008326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062F" w:rsidRPr="00ED4385" w:rsidTr="00B93570">
        <w:tc>
          <w:tcPr>
            <w:tcW w:w="2616" w:type="dxa"/>
          </w:tcPr>
          <w:p w:rsidR="0068062F" w:rsidRPr="00ED4385" w:rsidRDefault="0068062F" w:rsidP="008326A1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68062F" w:rsidRPr="00ED4385" w:rsidRDefault="0068062F" w:rsidP="008326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6751C9" w:rsidRDefault="006751C9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53E9" w:rsidRDefault="003F53E9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80E3A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Б.М.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7C7CC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3E1DA0">
        <w:rPr>
          <w:rFonts w:ascii="Times New Roman" w:hAnsi="Times New Roman"/>
          <w:sz w:val="28"/>
          <w:szCs w:val="28"/>
        </w:rPr>
        <w:t xml:space="preserve">Г.М. </w:t>
      </w:r>
      <w:proofErr w:type="spellStart"/>
      <w:r w:rsidR="003E1DA0">
        <w:rPr>
          <w:rFonts w:ascii="Times New Roman" w:hAnsi="Times New Roman"/>
          <w:sz w:val="28"/>
          <w:szCs w:val="28"/>
        </w:rPr>
        <w:t>Панафідіна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53844">
      <w:footerReference w:type="default" r:id="rId9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42" w:rsidRDefault="003C7942" w:rsidP="00407A1B">
      <w:pPr>
        <w:spacing w:after="0" w:line="240" w:lineRule="auto"/>
      </w:pPr>
      <w:r>
        <w:separator/>
      </w:r>
    </w:p>
  </w:endnote>
  <w:endnote w:type="continuationSeparator" w:id="0">
    <w:p w:rsidR="003C7942" w:rsidRDefault="003C7942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570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42" w:rsidRDefault="003C7942" w:rsidP="00407A1B">
      <w:pPr>
        <w:spacing w:after="0" w:line="240" w:lineRule="auto"/>
      </w:pPr>
      <w:r>
        <w:separator/>
      </w:r>
    </w:p>
  </w:footnote>
  <w:footnote w:type="continuationSeparator" w:id="0">
    <w:p w:rsidR="003C7942" w:rsidRDefault="003C7942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902"/>
    <w:rsid w:val="000404D7"/>
    <w:rsid w:val="0004464B"/>
    <w:rsid w:val="00054398"/>
    <w:rsid w:val="00067DCD"/>
    <w:rsid w:val="00077C60"/>
    <w:rsid w:val="000872DF"/>
    <w:rsid w:val="000A3A66"/>
    <w:rsid w:val="000B52E2"/>
    <w:rsid w:val="000B7854"/>
    <w:rsid w:val="000D2CB8"/>
    <w:rsid w:val="000D7640"/>
    <w:rsid w:val="000F292C"/>
    <w:rsid w:val="000F5B8C"/>
    <w:rsid w:val="00102FB9"/>
    <w:rsid w:val="00117CCD"/>
    <w:rsid w:val="001651E4"/>
    <w:rsid w:val="00167E51"/>
    <w:rsid w:val="0017605C"/>
    <w:rsid w:val="00182FD7"/>
    <w:rsid w:val="0019634F"/>
    <w:rsid w:val="001A0CDB"/>
    <w:rsid w:val="001A76FE"/>
    <w:rsid w:val="001C061E"/>
    <w:rsid w:val="001C5A08"/>
    <w:rsid w:val="001E574C"/>
    <w:rsid w:val="001F0CFE"/>
    <w:rsid w:val="002007C5"/>
    <w:rsid w:val="00200D3C"/>
    <w:rsid w:val="00207CFA"/>
    <w:rsid w:val="00210E37"/>
    <w:rsid w:val="00240522"/>
    <w:rsid w:val="00257E5A"/>
    <w:rsid w:val="00272643"/>
    <w:rsid w:val="00291DB5"/>
    <w:rsid w:val="002A2556"/>
    <w:rsid w:val="002B057A"/>
    <w:rsid w:val="002C6A41"/>
    <w:rsid w:val="002D2683"/>
    <w:rsid w:val="002D4254"/>
    <w:rsid w:val="002E69F8"/>
    <w:rsid w:val="00301DB3"/>
    <w:rsid w:val="00347CFA"/>
    <w:rsid w:val="003554CD"/>
    <w:rsid w:val="00355D30"/>
    <w:rsid w:val="003568E1"/>
    <w:rsid w:val="0038222C"/>
    <w:rsid w:val="00392B9E"/>
    <w:rsid w:val="00393810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7A1B"/>
    <w:rsid w:val="00411EF2"/>
    <w:rsid w:val="00416D20"/>
    <w:rsid w:val="0042286D"/>
    <w:rsid w:val="004241AB"/>
    <w:rsid w:val="004267AD"/>
    <w:rsid w:val="004468BD"/>
    <w:rsid w:val="00452652"/>
    <w:rsid w:val="00454721"/>
    <w:rsid w:val="0046232A"/>
    <w:rsid w:val="004711DD"/>
    <w:rsid w:val="00492388"/>
    <w:rsid w:val="004A2B55"/>
    <w:rsid w:val="004D4608"/>
    <w:rsid w:val="00505F31"/>
    <w:rsid w:val="0051046B"/>
    <w:rsid w:val="0051061E"/>
    <w:rsid w:val="0051250F"/>
    <w:rsid w:val="00515E6D"/>
    <w:rsid w:val="00554BC6"/>
    <w:rsid w:val="00562D82"/>
    <w:rsid w:val="00563F95"/>
    <w:rsid w:val="0057533D"/>
    <w:rsid w:val="00582001"/>
    <w:rsid w:val="00586C8D"/>
    <w:rsid w:val="00597403"/>
    <w:rsid w:val="005B03EF"/>
    <w:rsid w:val="005C019B"/>
    <w:rsid w:val="005C3875"/>
    <w:rsid w:val="005F1BB6"/>
    <w:rsid w:val="006258EA"/>
    <w:rsid w:val="00627A2F"/>
    <w:rsid w:val="00646E18"/>
    <w:rsid w:val="00653386"/>
    <w:rsid w:val="006609B8"/>
    <w:rsid w:val="00664024"/>
    <w:rsid w:val="006645E3"/>
    <w:rsid w:val="00664610"/>
    <w:rsid w:val="006751C9"/>
    <w:rsid w:val="00677D35"/>
    <w:rsid w:val="0068062F"/>
    <w:rsid w:val="00685B05"/>
    <w:rsid w:val="006A5116"/>
    <w:rsid w:val="006C12A3"/>
    <w:rsid w:val="006C336C"/>
    <w:rsid w:val="006C4437"/>
    <w:rsid w:val="006E2057"/>
    <w:rsid w:val="006E7452"/>
    <w:rsid w:val="0072330E"/>
    <w:rsid w:val="00734BA5"/>
    <w:rsid w:val="007409E2"/>
    <w:rsid w:val="00745757"/>
    <w:rsid w:val="00756FCF"/>
    <w:rsid w:val="00766027"/>
    <w:rsid w:val="00767F0B"/>
    <w:rsid w:val="0077121D"/>
    <w:rsid w:val="00775BF0"/>
    <w:rsid w:val="00781C2C"/>
    <w:rsid w:val="007867FF"/>
    <w:rsid w:val="007A55A0"/>
    <w:rsid w:val="007B2A38"/>
    <w:rsid w:val="007C7CC2"/>
    <w:rsid w:val="007D5DBB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847E9"/>
    <w:rsid w:val="008A38E0"/>
    <w:rsid w:val="008B51CC"/>
    <w:rsid w:val="008D3A06"/>
    <w:rsid w:val="008D49C9"/>
    <w:rsid w:val="008F01BD"/>
    <w:rsid w:val="008F14DC"/>
    <w:rsid w:val="008F14E0"/>
    <w:rsid w:val="00911800"/>
    <w:rsid w:val="00926546"/>
    <w:rsid w:val="009270CE"/>
    <w:rsid w:val="00936B23"/>
    <w:rsid w:val="009404E0"/>
    <w:rsid w:val="00953746"/>
    <w:rsid w:val="00991892"/>
    <w:rsid w:val="009929AA"/>
    <w:rsid w:val="009B1420"/>
    <w:rsid w:val="009C44FC"/>
    <w:rsid w:val="009C58C2"/>
    <w:rsid w:val="009C7CE6"/>
    <w:rsid w:val="009D54AC"/>
    <w:rsid w:val="009D7154"/>
    <w:rsid w:val="009E68C3"/>
    <w:rsid w:val="00A109C2"/>
    <w:rsid w:val="00A32BF1"/>
    <w:rsid w:val="00A627F9"/>
    <w:rsid w:val="00A779B7"/>
    <w:rsid w:val="00A82013"/>
    <w:rsid w:val="00A871DF"/>
    <w:rsid w:val="00A96BD7"/>
    <w:rsid w:val="00AA278E"/>
    <w:rsid w:val="00AA5F97"/>
    <w:rsid w:val="00AD5A0C"/>
    <w:rsid w:val="00AE29A4"/>
    <w:rsid w:val="00B02847"/>
    <w:rsid w:val="00B05068"/>
    <w:rsid w:val="00B05526"/>
    <w:rsid w:val="00B232F9"/>
    <w:rsid w:val="00B24692"/>
    <w:rsid w:val="00B2578D"/>
    <w:rsid w:val="00B3367A"/>
    <w:rsid w:val="00B34EAB"/>
    <w:rsid w:val="00B5050F"/>
    <w:rsid w:val="00B87B50"/>
    <w:rsid w:val="00B93570"/>
    <w:rsid w:val="00BA05BA"/>
    <w:rsid w:val="00BC1A21"/>
    <w:rsid w:val="00BC2F19"/>
    <w:rsid w:val="00BC5C2E"/>
    <w:rsid w:val="00BC7C9E"/>
    <w:rsid w:val="00BD48E2"/>
    <w:rsid w:val="00BE048B"/>
    <w:rsid w:val="00BE1925"/>
    <w:rsid w:val="00C01E9B"/>
    <w:rsid w:val="00C23901"/>
    <w:rsid w:val="00C43692"/>
    <w:rsid w:val="00C52D51"/>
    <w:rsid w:val="00C6312E"/>
    <w:rsid w:val="00C6320A"/>
    <w:rsid w:val="00C80474"/>
    <w:rsid w:val="00C83523"/>
    <w:rsid w:val="00C92022"/>
    <w:rsid w:val="00CB4689"/>
    <w:rsid w:val="00CC38F2"/>
    <w:rsid w:val="00CC51A1"/>
    <w:rsid w:val="00CD7868"/>
    <w:rsid w:val="00CE1EAC"/>
    <w:rsid w:val="00CF00DB"/>
    <w:rsid w:val="00CF344C"/>
    <w:rsid w:val="00D123E9"/>
    <w:rsid w:val="00D146BD"/>
    <w:rsid w:val="00D30273"/>
    <w:rsid w:val="00D35EF5"/>
    <w:rsid w:val="00D60D23"/>
    <w:rsid w:val="00D94198"/>
    <w:rsid w:val="00D96DFE"/>
    <w:rsid w:val="00DD0256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309C5"/>
    <w:rsid w:val="00E41E1B"/>
    <w:rsid w:val="00E46B2F"/>
    <w:rsid w:val="00E63B45"/>
    <w:rsid w:val="00E752BF"/>
    <w:rsid w:val="00E76329"/>
    <w:rsid w:val="00E9735D"/>
    <w:rsid w:val="00EA2799"/>
    <w:rsid w:val="00EA6FEF"/>
    <w:rsid w:val="00EB3BD4"/>
    <w:rsid w:val="00EC2B4E"/>
    <w:rsid w:val="00ED16EF"/>
    <w:rsid w:val="00ED2E64"/>
    <w:rsid w:val="00EE7908"/>
    <w:rsid w:val="00F0692D"/>
    <w:rsid w:val="00F26A69"/>
    <w:rsid w:val="00F34C45"/>
    <w:rsid w:val="00F35ACD"/>
    <w:rsid w:val="00F42DED"/>
    <w:rsid w:val="00F43DE6"/>
    <w:rsid w:val="00F53844"/>
    <w:rsid w:val="00F70992"/>
    <w:rsid w:val="00F715D6"/>
    <w:rsid w:val="00F80E3A"/>
    <w:rsid w:val="00F86207"/>
    <w:rsid w:val="00F8774E"/>
    <w:rsid w:val="00FA0E0B"/>
    <w:rsid w:val="00FB7AB3"/>
    <w:rsid w:val="00F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4697</Words>
  <Characters>2678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47</cp:revision>
  <cp:lastPrinted>2021-12-20T12:34:00Z</cp:lastPrinted>
  <dcterms:created xsi:type="dcterms:W3CDTF">2021-07-02T11:14:00Z</dcterms:created>
  <dcterms:modified xsi:type="dcterms:W3CDTF">2021-12-20T12:45:00Z</dcterms:modified>
</cp:coreProperties>
</file>