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9"/>
        <w:gridCol w:w="3504"/>
      </w:tblGrid>
      <w:tr w:rsidR="00CB35AC" w:rsidTr="00CB35AC">
        <w:tc>
          <w:tcPr>
            <w:tcW w:w="11629" w:type="dxa"/>
          </w:tcPr>
          <w:p w:rsidR="00CB35AC" w:rsidRDefault="00897D73" w:rsidP="00CB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B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61312" behindDoc="0" locked="0" layoutInCell="1" allowOverlap="1" wp14:anchorId="0DD07601" wp14:editId="114BC002">
                  <wp:simplePos x="0" y="0"/>
                  <wp:positionH relativeFrom="column">
                    <wp:posOffset>3465830</wp:posOffset>
                  </wp:positionH>
                  <wp:positionV relativeFrom="paragraph">
                    <wp:posOffset>-171450</wp:posOffset>
                  </wp:positionV>
                  <wp:extent cx="1191895" cy="773776"/>
                  <wp:effectExtent l="0" t="0" r="8255" b="7620"/>
                  <wp:wrapNone/>
                  <wp:docPr id="2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8EA01D3-24F4-4CC8-B8A9-292F3547C4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8EA01D3-24F4-4CC8-B8A9-292F3547C4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34" t="1" r="53333" b="-5822"/>
                          <a:stretch/>
                        </pic:blipFill>
                        <pic:spPr>
                          <a:xfrm>
                            <a:off x="0" y="0"/>
                            <a:ext cx="1191895" cy="773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63360" behindDoc="0" locked="0" layoutInCell="1" allowOverlap="1" wp14:anchorId="521A9A23" wp14:editId="61981365">
                  <wp:simplePos x="0" y="0"/>
                  <wp:positionH relativeFrom="column">
                    <wp:posOffset>4833620</wp:posOffset>
                  </wp:positionH>
                  <wp:positionV relativeFrom="paragraph">
                    <wp:posOffset>-258445</wp:posOffset>
                  </wp:positionV>
                  <wp:extent cx="1409423" cy="1002245"/>
                  <wp:effectExtent l="0" t="0" r="635" b="0"/>
                  <wp:wrapNone/>
                  <wp:docPr id="1" name="Рисунок 1" descr="EXC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XC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423" cy="1002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08C2">
              <w:rPr>
                <w:noProof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222CEC00" wp14:editId="30667B77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-125095</wp:posOffset>
                  </wp:positionV>
                  <wp:extent cx="956310" cy="673100"/>
                  <wp:effectExtent l="0" t="0" r="0" b="0"/>
                  <wp:wrapNone/>
                  <wp:docPr id="9" name="Picture 17" descr="LOGO AEECU 1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7" descr="LOGO AEECU 1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6731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B35AC">
              <w:rPr>
                <w:rFonts w:ascii="Times New Roman" w:hAnsi="Times New Roman" w:cs="Times New Roman"/>
                <w:sz w:val="24"/>
                <w:szCs w:val="24"/>
              </w:rPr>
              <w:t xml:space="preserve">ЗАТВЕРДЖЕНО </w:t>
            </w:r>
          </w:p>
          <w:p w:rsidR="00CB35AC" w:rsidRPr="00894B23" w:rsidRDefault="00894B23" w:rsidP="00CB35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рішенням міської ради</w:t>
            </w:r>
          </w:p>
          <w:p w:rsidR="00CB35AC" w:rsidRDefault="00CB35AC" w:rsidP="00CB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1D38">
              <w:rPr>
                <w:rFonts w:ascii="Times New Roman" w:hAnsi="Times New Roman" w:cs="Times New Roman"/>
                <w:sz w:val="24"/>
                <w:szCs w:val="24"/>
              </w:rPr>
              <w:t>ід 22</w:t>
            </w:r>
            <w:r w:rsidRPr="00730EE3">
              <w:rPr>
                <w:rFonts w:ascii="Times New Roman" w:hAnsi="Times New Roman" w:cs="Times New Roman"/>
                <w:sz w:val="24"/>
                <w:szCs w:val="24"/>
              </w:rPr>
              <w:t xml:space="preserve"> грудня 2021 року №</w:t>
            </w:r>
            <w:r w:rsidR="00B81D38">
              <w:rPr>
                <w:rFonts w:ascii="Times New Roman" w:hAnsi="Times New Roman" w:cs="Times New Roman"/>
                <w:sz w:val="24"/>
                <w:szCs w:val="24"/>
              </w:rPr>
              <w:t xml:space="preserve"> 10/8</w:t>
            </w:r>
            <w:r w:rsidR="00897D73" w:rsidRPr="00897D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</w:t>
            </w:r>
          </w:p>
          <w:p w:rsidR="00CB35AC" w:rsidRDefault="00CB35AC" w:rsidP="00730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B35AC" w:rsidRDefault="00CB35AC" w:rsidP="00EA08C2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СХВАЛЕНО </w:t>
            </w:r>
          </w:p>
          <w:p w:rsidR="00CB35AC" w:rsidRPr="00730EE3" w:rsidRDefault="00CB35AC" w:rsidP="00EA08C2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0EE3">
              <w:rPr>
                <w:rFonts w:ascii="Times New Roman" w:hAnsi="Times New Roman" w:cs="Times New Roman"/>
                <w:sz w:val="24"/>
                <w:szCs w:val="24"/>
              </w:rPr>
              <w:t xml:space="preserve">ішенням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  <w:p w:rsidR="00CB35AC" w:rsidRDefault="00CB35AC" w:rsidP="00EA08C2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1D38">
              <w:rPr>
                <w:rFonts w:ascii="Times New Roman" w:hAnsi="Times New Roman" w:cs="Times New Roman"/>
                <w:sz w:val="24"/>
                <w:szCs w:val="24"/>
              </w:rPr>
              <w:t xml:space="preserve">ід 22 </w:t>
            </w:r>
            <w:r w:rsidRPr="00730EE3">
              <w:rPr>
                <w:rFonts w:ascii="Times New Roman" w:hAnsi="Times New Roman" w:cs="Times New Roman"/>
                <w:sz w:val="24"/>
                <w:szCs w:val="24"/>
              </w:rPr>
              <w:t>грудня 2021 року №</w:t>
            </w:r>
            <w:r w:rsidR="00B81D38">
              <w:rPr>
                <w:rFonts w:ascii="Times New Roman" w:hAnsi="Times New Roman" w:cs="Times New Roman"/>
                <w:sz w:val="24"/>
                <w:szCs w:val="24"/>
              </w:rPr>
              <w:t xml:space="preserve"> 513</w:t>
            </w:r>
          </w:p>
        </w:tc>
      </w:tr>
    </w:tbl>
    <w:p w:rsidR="00730EE3" w:rsidRPr="00730EE3" w:rsidRDefault="00897D7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 w:rsidRPr="00EA08C2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64384" behindDoc="1" locked="0" layoutInCell="1" allowOverlap="1" wp14:anchorId="669B584C" wp14:editId="7097542B">
            <wp:simplePos x="0" y="0"/>
            <wp:positionH relativeFrom="column">
              <wp:posOffset>6575425</wp:posOffset>
            </wp:positionH>
            <wp:positionV relativeFrom="paragraph">
              <wp:posOffset>-845820</wp:posOffset>
            </wp:positionV>
            <wp:extent cx="451485" cy="582777"/>
            <wp:effectExtent l="0" t="0" r="5715" b="8255"/>
            <wp:wrapNone/>
            <wp:docPr id="3" name="Рисунок 3" descr="C:\Users\User13\Downloads\200px-Coat_of_Arms_of_Novovolynsk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3\Downloads\200px-Coat_of_Arms_of_Novovolynsk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8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036A" w:rsidRPr="00730EE3" w:rsidRDefault="00730EE3" w:rsidP="00730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EE3">
        <w:rPr>
          <w:rFonts w:ascii="Times New Roman" w:hAnsi="Times New Roman" w:cs="Times New Roman"/>
          <w:b/>
          <w:sz w:val="28"/>
          <w:szCs w:val="28"/>
        </w:rPr>
        <w:t>П</w:t>
      </w:r>
      <w:r w:rsidR="00A61395">
        <w:rPr>
          <w:rFonts w:ascii="Times New Roman" w:hAnsi="Times New Roman" w:cs="Times New Roman"/>
          <w:b/>
          <w:sz w:val="28"/>
          <w:szCs w:val="28"/>
          <w:lang w:val="ru-RU"/>
        </w:rPr>
        <w:t>лан</w:t>
      </w:r>
      <w:r w:rsidRPr="00730EE3">
        <w:rPr>
          <w:rFonts w:ascii="Times New Roman" w:hAnsi="Times New Roman" w:cs="Times New Roman"/>
          <w:b/>
          <w:sz w:val="28"/>
          <w:szCs w:val="28"/>
        </w:rPr>
        <w:t xml:space="preserve"> дій із впровадження Європейської Енергетичної Відзнаки у місті Нововолинську</w:t>
      </w:r>
    </w:p>
    <w:tbl>
      <w:tblPr>
        <w:tblW w:w="5105" w:type="pct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631"/>
        <w:gridCol w:w="1989"/>
        <w:gridCol w:w="347"/>
        <w:gridCol w:w="1253"/>
        <w:gridCol w:w="1523"/>
        <w:gridCol w:w="1372"/>
        <w:gridCol w:w="1153"/>
        <w:gridCol w:w="1476"/>
        <w:gridCol w:w="577"/>
        <w:gridCol w:w="577"/>
        <w:gridCol w:w="577"/>
        <w:gridCol w:w="577"/>
        <w:gridCol w:w="577"/>
        <w:gridCol w:w="410"/>
        <w:gridCol w:w="911"/>
        <w:gridCol w:w="1726"/>
      </w:tblGrid>
      <w:tr w:rsidR="00730EE3" w:rsidRPr="00910703" w:rsidTr="00213C33">
        <w:trPr>
          <w:trHeight w:val="285"/>
        </w:trPr>
        <w:tc>
          <w:tcPr>
            <w:tcW w:w="202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№ заходу EEA</w:t>
            </w:r>
          </w:p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46" w:type="pct"/>
            <w:gridSpan w:val="2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Заходи</w:t>
            </w:r>
          </w:p>
        </w:tc>
        <w:tc>
          <w:tcPr>
            <w:tcW w:w="400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Пріоритетність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24" w:type="pct"/>
            <w:gridSpan w:val="2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Відповідальний відділ (особа)</w:t>
            </w:r>
          </w:p>
        </w:tc>
        <w:tc>
          <w:tcPr>
            <w:tcW w:w="368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Джерело фінансування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71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Зв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uk-UA"/>
              </w:rPr>
              <w:t>’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язок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 з цільовими програмами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22" w:type="pct"/>
            <w:gridSpan w:val="2"/>
            <w:shd w:val="clear" w:color="auto" w:fill="8EAADB" w:themeFill="accent5" w:themeFillTint="99"/>
            <w:vAlign w:val="center"/>
            <w:hideMark/>
          </w:tcPr>
          <w:p w:rsidR="00730EE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Статус впровадження </w:t>
            </w:r>
          </w:p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550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Коментарі щодо впровадження заходу</w:t>
            </w: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46" w:type="pct"/>
            <w:gridSpan w:val="2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00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24" w:type="pct"/>
            <w:gridSpan w:val="2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71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31" w:type="pct"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%</w:t>
            </w:r>
          </w:p>
        </w:tc>
        <w:tc>
          <w:tcPr>
            <w:tcW w:w="291" w:type="pct"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Статус</w:t>
            </w:r>
          </w:p>
        </w:tc>
        <w:tc>
          <w:tcPr>
            <w:tcW w:w="550" w:type="pct"/>
            <w:vMerge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Стратегії розвитку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Розроблення та затвердження комплексного плану просторового розвитку територій територіальної громади, генеральних планів населених пунктів, детальних планів території, їх оновлення та внесення змін до них.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Плану дій сталого енергетичного розвитку та клімату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Нововолинської міської територіальної громади до 2030 року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Укладено угоду з УНЕА до 31.12.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2021 року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Перегляд Програми поводження з твердими побутовими відходами у Нововолинську на 2020-2024 роки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поводження з твердими побутовими відходами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 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Розробити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конкретний план дій щодо впровадження сортування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ТПВ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співпраці з бізнесом, пошуку інвесторів, інформаційної кампанії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Створення первинної інфраструктури для роздільного збору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поводження з твердими побутовими </w:t>
            </w:r>
            <w:bookmarkStart w:id="0" w:name="_GoBack"/>
            <w:bookmarkEnd w:id="0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відходами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 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пунктів: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изначення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місць, де будуть розміщені контейнери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ля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ридбання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розміщення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контейнерів у вибраних місцях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наліз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попиту на вторинні матеріали, 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також пошук бізнес-партнерів щодо переробки відходів, підписання контрактів з відповідними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мпаніями з переробки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торинна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переробка 20% зібраних муніципальних твердих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порівнянні з 5-6%, що є станом на зараз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Актуалізація Генплану відповідно до норм адміністративної реформи та з урахуванням території новоствореної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Нововолинської міської територіальної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Генплан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Врахувати елементи просторового та енергетичного планування при актуалізації документу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Простор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ового енергетичного плану для Нововолинської міської територіальної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Маючи кілька рів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нів енергетичної інфраструктури та,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ключаючи схему щільності споживання енергії, що показує щільність потреби в енергії з метою узгодження цієї потреби з відповідними джерелами енергії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елементів ГІС систем з енергетичним та просторовим плануванням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якості пілотного проекту: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-створення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програмного забезпечення системи ГІС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-наповнення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елементами бази даних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-створення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різних пластів (комунальні мережі водопостачання, мережі ЦТС, зелені зони, тощо)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Реалізація схеми теплопостачання на період до 2028 року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дівництва та інфраструктури, КП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435477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proofErr w:type="spellStart"/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ові</w:t>
            </w:r>
            <w:proofErr w:type="spellEnd"/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кошти</w:t>
            </w:r>
            <w:proofErr w:type="spellEnd"/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 до 2028, Програма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оптимізації системи теплопостачання Нововолинської міської територіальної громади на 2021-2025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Відключення споживачів, неперспективних ділянок мережі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неперспективних котелень. Реалізація альтернативн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их рішень, описаних у документі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Плану сталої міської мобільност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435477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язку</w:t>
            </w:r>
            <w:proofErr w:type="spellEnd"/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Схеми організації дорожнього руху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язку</w:t>
            </w:r>
            <w:proofErr w:type="spellEnd"/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Наявні 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лани на 2022 рік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обка Концепції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велотранспорту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м. Нововолинськ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 w:rsidRPr="0043547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рекреаційного значення та благоустрою міського озера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спеціальних вимог до енергоефективності, при продажі міської землі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1.4.1.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більш жорстких технічних та екологічних вимог до нового будівництва та капітальної реконструкції до житлових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більш жорстких технічних та екологічних вимог до нового будівництва та капітальної реконструкції муніципальних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 менше 20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% охоплення, кількість демонстраційних будівель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системи автоматизованого моніторингу споживання енергії та води у громадських будівлях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Розпорядження міського голови "Про створення системи управління і моніторингу споживання енергоресурсів"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Покращення системи управління даними, розглянути можливість запровадження системи мотивації учасників СЕМ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Керівництво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EEA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2.1.3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Розробка Програми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підвищення  енергоефективності для муніципальних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КНП «НЦМЛ»,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КНП «ПМСД»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відділ культури,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інвестицій, 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Бюджет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Використовуючи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досвід подібних громад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2.1.4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Будівництво та реконструкція громадських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відділ культури,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інвестицій, відділ проектної діяльності та інвестицій, 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соціально-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Заклади ДНЗ, заклади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позашкілля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ліцеї громади, заклади охорони здоров’я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Опрацювання оптимальних механізмів експлуатації котелень, які обслуговують об'єкти муніципальної сфери і працюють на щепі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Перегляд співпраці з підрядниками в напрямку пошуку найоптимальніших для розвитку відновлюваних джерел енергії в громаді</w:t>
            </w:r>
          </w:p>
        </w:tc>
      </w:tr>
      <w:tr w:rsidR="00730EE3" w:rsidRPr="00910703" w:rsidTr="00213C33">
        <w:trPr>
          <w:trHeight w:val="1680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електрогенеруючого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обладнання на муніципальних об'єктах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-проаналізувати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об'єкти де є найбільша потреба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/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можливості для встановленні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електрогенеруючого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обладнання, </w:t>
            </w:r>
          </w:p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-залучити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фахівців,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розробка техніко-економічного обґрунтування на окремі об'єкти бюджетної сфери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пошук інвестиційних, грантових можливостей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Дослідження можливостей щодо встановлення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фотовол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станцій та щодо відведення земельної ділянки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закладів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дошкільної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освіти та впровадження в них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Заклади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дошкільної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освіти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 Нововолинськ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та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 №1,2,3,4,5,6,7,8,9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ліцеїв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ліцеїв №1,2,3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,4,5,6,8,9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м.Нововолинська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ДЮСШ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МНВК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Впровадження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  в закл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адах культу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ри міста Нововолинська та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культури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Впровадження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 у Нововолинському міському палаці культури, будинку культури в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Благодатне, Нововолинській дитячій школі мистецтв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будівлі Нововолинської міської ради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Виконавчий комітет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Нововолинської 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3053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Впровадження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 та комплексна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термомодернізація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будівель сфери охорони здоров’я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«ПМСД», відділ проектної діяльності та інвестицій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Будівля хірургічно-травматологічного корпусу КНП «НЦМЛ», будівля терапевтичного корпусу КНП «НЦМЛ», будівлі інфекційного корпусу КНП «НЦМЛ», будівля пологового корпусу КНП «НЦМЛ», будівля корпусу поліклініки КНП «НЦМЛ», будівля корпусу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екстрен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ої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медичної допомоги КНП «НЦМЛ»,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амбулаторії КНП «ПМСД»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транспортабельних котелень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 тепловою потужністю 2,7 МВт на ЦТП 6-ого мікрорайону за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адресою 6-мікрорайон буд.№2а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 у кількості 2 од. на 5 і 6 мікрорайонах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 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існуючих аварійних котлів або технічне переоснащення існуючих котлів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 існуючих аварійних котлів КСВТ-3,0 у кількості 4 од. на нові аналогічні котли на котельні 26 кварталу (стара)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існуючих аварійних котлів ТВГ-8М у кількості 2 од. на нові аналогічні котли на котельні 26 кварталу (нова)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ехнічне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переоснащення існуючих котлів КВГ-7,56 у кількості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од. на котельні 66 кварталу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ехнічне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переоснащення існуючого котла КВГ-7,56 на котельні Шахтар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ського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м-ну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м. Нововолинськ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існуючих газових котлів КБНГ-2,5 у кількості 3 од. на нові твердопаливні котли з механізованою подачею палива одиничною потужністю по 2,5 МВт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котельні смт. Благодатне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частотно-регулюючого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пристрою у кількості 2 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на котельні 15-мікроарйону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Реконструкція теплом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ереж міста 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мереж котельні 26 кварталу (стара) м. 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-тепломережі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-тепломережі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Шахтарського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м-ну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 тепломережі котельні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Благодатне: комплексну заміну трубопроводів у двотрубному вимірі на попередньо ізольовані здійснюватимуть у 2 етапи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Ізоляція або заміна розподільчих трубопроводів системи центрального теплопостачання плюс модернізація котелень, можливо, включаючи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когенерацію</w:t>
            </w:r>
            <w:proofErr w:type="spellEnd"/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 г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енеральний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Схема теплопостачання розроблена з перспективою до 2028 року: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-реалізовані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-план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Капітальний ремонт системи опалення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\Реконструкція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системи опалення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Схема теплопостачання розроблена з перспективою до 2028 року: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-реалізовані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-план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ламп 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зжарювання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світлодіодні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закладах освіти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 Нововолинськ та сел. 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електроплит у харчоблоці КНП «НЦМЛ»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Модернізація джерел внутрішнього освітлення та електроплит у бюджетних закладах (школи та садочки)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всіх існуючих світильників на вулицях, дорогах та скверах на нові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енергоефективні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LED з функцією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диміювання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меншою потужністю та з покращеною світловіддачею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 кількості 3889 одиниць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Модернізація всіх старих ШУВО (шаф управління вуличного освітлення);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реформування і розвитку житлово-комунального господарства, екології, дорожнього руху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всіх існуючих не ізольованих ЛЕП на нові СІП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Довжиною 82,75 км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аварійних опор та опор, які знаходяться в незадовільному стані з відновленням контурів захисного заземлення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ні кошти 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Капітальний ремонт водопостачання та водовідведення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 підприємства,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Розробка документу щодо Просторового енергетичного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планування Нововолинська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і земельних відносин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Плата за мережі та використання доходів - спрямувати кошти від оренди муніципальних мереж (постачальником тепла що отримують від котелень на щепі) на заходи з енергоефективності)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Розглянути можливість створення Муніципального ЕСКО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Використання «розумного»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обліку споживання енергоресурсів та обм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іну даними - встановлення «розум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них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лічильників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зОВ «Теплопо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стача»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інші по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стачальні організації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та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дооснащення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встановлених лічильників обліку теплової енергії системою дистанційної передачі показників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кількості 33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ачів котельні 15-мікроарйону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споживачів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отельні 26 кварталу (стара)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Нововолинськ, в кількості 82 од. у споживачів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котельні 26 кварталу (стара)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споживачів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116 од. у споживачів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71 од. у споживачів котельн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 66 кварталу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Нововолинськ, в кількості 52 од. у споживачів котельні Шахтарського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м-ну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м. Нововолинськ, в кількості 27 од. у споживачів котельні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Благодатне, в кількості 34 од. у спожи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вачів котельні смт. Благодатне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Ідентифікація джерел відпрацьованого тепла, розробка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техніко-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економічного обґрунтування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Здійснити аналіз потенційних об'єктів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Розглянути можливість встановлення теплових насосів на об'єктах комунальної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КП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Беручи за приклад позитивн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ий досвід КП 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Нововолинськ-водоканал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Вивчення можливості переведення котлів системи центрального теплопостачання на спалювання біомаси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Впровадження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 у приватних житлових будинках індивідуальної забудови (414 од.) та заміщення природного газу альтернативним паливом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вікон, дверей, утеплення зовнішніх стін, утеплення даху, реконструкція системи опалення та заміна газових котлів на твердопаливні котли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відновлювальних джерел енергії  - Встановлення СЕС одиничною потужністю 30 кВт (30 од.)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Визначення потенціалу використання скидного тепла та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когенерації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Оптимізація роботи системи водопостачання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та використання оптимізованої схеми водопостачання на базі гідравлічної моделі мереж водопостачання із застосуванням сучасних комп’ютерно-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гідравлічних програм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вузлами комерційного обліку холодної води багатоквартирні будинки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центр розвитку ОСББ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кількості 208 одиниць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Належна поточна експлуатація системи водопостачання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концепції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благоустрою міського озера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Капітальні ремонти та реконструкції парків і зелених зон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 Реконструкції установки каналізаційних очисних споруд (КОС)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частотно-регулюючого пристрою на повітродувній станції КОС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 та міста Нововолинськ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Нововолинськводоканал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становлення частотно-регулюючого пристрою 1 од. DANFOSS VLT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Micro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Drive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FC-51 (7,5 кВт) на повітродувні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й станції КОС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;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частотно-регулюючого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ристрою 2 од. (АВВ  ACS 580 200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кВт) на повітродувній станції КОС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Реконструкція та будівництво мереж зливової каналізації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будівництва елементів дощової каналізації при реконструкції доріг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збору дощової води у місті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дренажної системи парків та зелених зон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державний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Програма благоустрою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Рекультивація старого полігону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на 2021 рік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Завершення будівництва  нової черги полігону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ими побутовими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Удосконалення/створення первинної інфраструктури для роздільного збору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ими побутовими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Чітко прописати алгоритм дій з впровадження інфраструктури роздільного збору відходів: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системи компостування органічних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твердими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рахування елементів утилізації органічних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відходів у Цільовій програмі: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изначення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місць, де будуть розміщені контейнери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ля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ридбання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розміщення конт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ейнерів у вибраних місцях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наліз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попиту на вторинні матеріали, а також підписання контрактів з відповідними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мпаніями з переробки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ідвищення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обізнаності громадян що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торинна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переробка щонайменше 15% зібраних муніципальних твердих відходів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EEA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3.6.2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Аналіз можливос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ей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нергетичного використання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звалищ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газу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Виробниче управління комунального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Бюджет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Програма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поводження з твердими побутовими від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Закупівля транспортних засобів для перевезення чиновників та господарських потреб здійснюється  через електронну систему «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Prozorro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», відповідно до положень ЗУ «Про публічні закупівлі».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Виконавчий комітет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юридичний відділ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Закупівля здійснюються із застосуванням таких принципів як: максимальна економія коштів, ефективність, добросовісна конкуренція серед учасників СПД, та врахування елементів впливу на навколишнє середовище ТЗ.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Новостворена муніципальна варта виконує функції управління місцями для паркування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муніципальної варти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Положення про муні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пальну варту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1. Впорядкування місць для паркування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 Налагодження комунікації з жителями громади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Проектування будівництва, капітальних ремонтів та реконструкцій вулиць, що належать до основних транспортних осей;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підвищення безпеки та комфорту на основних магістралях міста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програма розвитку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житлово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-комунального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господарства, екології, доро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жнього руху та його безпеки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привабливого дизайну громадських просторів і засобів зниження швидкості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програма розвитку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житлово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-комунального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господарства, екології, дорожнього руху та його безп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смт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Перелік таких об’єктів запланувати наприклад в Програмі благоустрою чи в іншому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цептуальному документі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мережі пішохідних доріжок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програма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розвитку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житлово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-комунального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господарства, екології, дор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ожнього руху та його безпеки м. 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Default="00730EE3" w:rsidP="00B81D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0" w:hanging="41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5F156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лагоустрій пішохідних доріжок;</w:t>
            </w:r>
          </w:p>
          <w:p w:rsidR="00730EE3" w:rsidRPr="005F1566" w:rsidRDefault="00730EE3" w:rsidP="00B81D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0" w:hanging="41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</w:t>
            </w:r>
            <w:r w:rsidRPr="005F156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удівництво нових пішохідних доріжок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Облаштування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велодоріжок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при реконструкції чи будівництві об’єктів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дорожної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програма розвитку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житлово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-комунального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господарства, екології, доро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жнього руху та його безпеки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Відповідно до концепції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велотранспорту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міста Нововолинська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велосипедної інфраструктури в Нововолинській міській територіальній  гром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аді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(ч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ерез значну інвестиційну вартість даного заходу пропонується його реалізацію у два етапи)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інфраструктури, громадські активісти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велосипедної інфраструктури Нововолинської МТГ включає: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1. Розробку програми розвитку вело руху Нововолинської МТГ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2.Промоційні та інформаційні заходи щодо популяризації вело транспорту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3.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Велоуроки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4. Розробка ПКД, влаштування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велосмуг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будівництво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велодоріжок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велосипедних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паркомісць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71од., сервісів технічного ремонту та поточного обслуговування велосипедів.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Здійснення інвентаризації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велопарковок</w:t>
            </w:r>
            <w:proofErr w:type="spellEnd"/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ограма благоустрою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велопарко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біля громадських об'єктів;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велопар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ковок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біля приватних об'єктів;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системи електронного квитка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Правила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користування міським та приміським пасажирським транспортом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у Нововолинській міській територіальній громаді 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-Охоплено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ТЗ на маршрутах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-Яа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результативність використання?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пристроїв GPS навігації на решта маршрутів громадського транспорту та встановлення розумних табло.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Правила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користування міським та приміським пасажирським транспортом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у Нововолинській міській територіальній громаді, Умови організації та проведення конкурсу з відбору перевізників на автобусних маршрутах 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пристроїв GPS навігації на решта маршрутів громадського транспорту у кількості 7 од. та встановлення розумних табло у кількості 10 од.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перевізниками на маршрутах щодо придбання екологічних ТЗ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Розвиток прокату велосипедів,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електросамокатів</w:t>
            </w:r>
            <w:proofErr w:type="spellEnd"/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4.5.2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Розроблено та продовжується вдосконалення нормативних актів для введення стандартів побудови та реконструкції транспортної та дотичної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Пошук кадрів дл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я сфери енергетики та клімату;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ф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ормування ключових показників ефективності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іл персоналу,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ідділ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 разі створення або покладання цих функцій на певний орган виконавчої влади, відбір та залучення молодих спеціалістів до кадрового резерву. Участь у розробці ключових показників ефективності діяльності працівників Нововолинської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міської ради.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5.1.2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Ефективна робота робочої групи ЄЕВ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Голова робочої групи,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начальник та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спеціаліст відділу проектної діяльності та інвестицій (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згенерованих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рішень, ініціатив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-ефективність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виконання плану у відсотках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Мотивація фахівців, що дотичні до напрямків впровадження ЄЕВ через систему преміювання, бонусів, тематичних поїздок, тощо за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згенеровані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ідеї, ініціативи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Залучення спеціалістів з різних структурних підрозділів до реалізації масштабних заходів (Тиждень сталої енергії, Тиждень мобільності, тощо)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-перелік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заходів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залученого персоналу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Проведення періодичних нарад, моніторинг даних, аналітика процесів ЄЕВ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Голова робочої групи,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начальник та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спеціаліст відділу проектної діяльності та інвестицій (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-виконання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Плану у якісному та кількісному вимі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ротоколи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засідань робочої групи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Підготовка Програми підвищення кваліфікації кадрів у сфері  енергетики та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Врахувати при здійсненні закупівель: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- клас ефективності обладнання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екологічні миючі засоби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- придбання місцевої флори для парків та скверів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Юридичний відділ, спеціаліст з тендерних закупівель 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Муніципалітет Нововолинська практикує правила закупівель, де враховано енергетичні та кліматичні фактори для ТЗ та реконструкції об'єктів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Планування бюджету на енергетичну та кліматичну політику громади, зокрема розробку основних концепцій/програм, залучення необхідних кадрів, експертів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фін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нсове управління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вказати суму та плановані до розробки програми (плани, концепції, ТЕО, тощо)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концепції комунікації та співпраці в контексті енергетики та змін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Розширене використання логотипу Європейської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енергетичної відзнаки на сайті,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промоційних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матеріалах, згадка на брифінгах, інформаційних нагодах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цифрової трансформації та комунікацій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Сприяння та підтримка впровадження енергозберігаючих заходів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житловому фонді, підтримка діяльності Центру ОСББ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підтримки ОСББ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Програма ФЕЕ «Тепла оселя»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багатоквартирних житлових будинків ОСББ у кількості 40 од.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(Через значну інвестиційну вартість даного заходу пропонується його реалізацію у два етапи), а також багатоквартирного житлового будинку ОСББ «Шахтар-23», ОСББ «Комфорт НВ», ОСББ «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Аліна-НВ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», ОСББ «Мій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дім-НВ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», ОСББ «Бульвар-34», ОСББ «Озерне-25А»,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бюджет, 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підтримки ОСББ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Енергомодернізація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рамках програми «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Енергодім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 передбачає реалізацію заходів Пакету-Б: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у МЗК, модернізація системи освітлення у МЗК, теплоізоляція трубопроводів опалення в МЗК та заміна вікон та балконних блоків у квартирах із склінням балконів і лоджій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Нововолинська у заходах,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проєктах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програмах, щодо обміну досвідом між громадам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міжнародного співробітництва, туризму та промоції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Заключення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угод про співпрацю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в партнерських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проєктах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 іншими громадами щодо впровадження заходів в контексті енергетики та клімату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«Польща-Білорусія-Україна»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Заплановані контакти, зу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стрічі, наради  з регіональними/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національними органами влади в контексті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реалізації енергетичної та кліматичної політики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 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ланування діалогу і співпраці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Керівництво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Отримання погоджень щодо експлуатації полігону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щодо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отримання кредиту; лобіювання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інтересів громади щодо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зниження цін на споживання природно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 газу для комунальних установ тощо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Проведення круглих столів, практикумів за участі представників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вищих навчальних закладів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Участь фахового університетського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середовища в розробці програм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планів, концепцій що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 енергетики, клімату, мо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ільності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та проведення уроків з питань енергозбереження.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1. Проведення уроків енергозбереження вчителями фізики для ознайомлення учнів із сучасними методами енергозбереження, відновлюваними джерелами енергії та основними принципами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енергоменеджменту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для використання вдома.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 Разом із учнями школи розміщені інформаційні таблички біля кранів, вимикачів світла та розеток про важливість енергозбереження.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3. На базі однієї зі шкіл проводиться навчання енерго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збереження для учнів шкіл Нововолинська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. Проведення майстер-класів, інтерактивних конкурсів та із залученням науковців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ВНЗ,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спільне виробництво простих джерел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відновлюваної енергії з використанням робототехніки НЕМК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Розміщення інформаційних таблиць поруч із кранами, вмикачами світла та розетками про важливість енергозбереження.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школярів у Тижні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сталої енергії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Тижні Сталої мобільності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програми екологічної та енергетичної  підтримки для промисловості та компаній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озробка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сприяння та проведення програми екологічної підтримки для підприємств, підтримки розвитку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енергоефективних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підприємств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апровадження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нагород “Екологічне підприємство” та виконання інформаційно-прос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вітницької програми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иконання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програми щодо підтримки підприємств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Інвесторами (в тому числі Проекти Міжнародної технічної та фінансової допомоги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I5P, НЕФ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КО, ЄБРР, ЄІБ, GIZ) щодо високих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стандартів енергоефек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тивнос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ті та ВДЕ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півпраця з «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Clear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energy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 та подібними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організаціями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демо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нстраційний проект ЄС, план дій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 2022-2024 роки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Маркетинг розташування - ініціювання проведення заходів для зацікавлених сторін, форумів, ярмарок, майстерні розвитку, за участі 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ізнесу, щодо розвитку екологічно чистих підприємств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тощо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міжнародного співробітництва, тризму та промоцій, управління цифрової трансформації та комунікацій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Заходи в напрямку під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римки сталого використання лісів та сільськог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осподарських угідь з метою вироб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лення енергії з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місцевої сировини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Реалізація проектів громадського бюджету в контек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ті енергоефективності та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 бюджету, Програма соці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льно-ек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Поширення інформаційних матеріалів для сприяння впровадженню енергозберігаючих заходів для місцевого населення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управління цифрової трансформації та комунікації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творення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системи (програми) підтримки інформаційної та освітньої діяльності третіх сторін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регулярної підтримки третім сторонам (ГО, зацікавленим особам,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громадським активістам, тощо)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рганізація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публічних інформаційних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Популяризація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енергоощадності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системах </w:t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електроспоживання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через інформаційно-просвітницькі кампанії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управління цифрової трансформації та комунікації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ГО в контексті сфер відзнаки: клімат, енергоеф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ктивність, мобільність, управління відходами, ВДЕ, тощо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створення ініціативних груп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-підтримка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міською радою заходів, ініційованих мешканцями, особливо в 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ормаційному контексті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Діяльність новоствореного центру підтримки ОСББ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сприяння діяльності об`єднанням співвласників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багатоквартирних будинків 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м. 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лагодатне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звернень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</w:t>
            </w:r>
            <w:proofErr w:type="spellEnd"/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 якість наданої підтримки, тощо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6.5.2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Будівництво чи реконструкція приватних об’єктів за найвищими стандартами енергоефективності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B81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EE3">
              <w:rPr>
                <w:rFonts w:ascii="Times New Roman" w:hAnsi="Times New Roman" w:cs="Times New Roman"/>
              </w:rPr>
              <w:t>Умовні позначення:</w:t>
            </w:r>
          </w:p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І: Ідея</w:t>
            </w:r>
          </w:p>
        </w:tc>
        <w:tc>
          <w:tcPr>
            <w:tcW w:w="997" w:type="pct"/>
            <w:gridSpan w:val="3"/>
            <w:shd w:val="clear" w:color="auto" w:fill="auto"/>
            <w:noWrap/>
            <w:hideMark/>
          </w:tcPr>
          <w:p w:rsidR="00910703" w:rsidRPr="00730EE3" w:rsidRDefault="00910703" w:rsidP="0091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Р: Рішення (прийняте)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0: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впровадження не розпочато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В: Виконання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1: 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продовжується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П: Продовження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2: 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Захід впроваджено</w:t>
            </w:r>
          </w:p>
        </w:tc>
      </w:tr>
    </w:tbl>
    <w:p w:rsidR="00910703" w:rsidRDefault="00910703"/>
    <w:sectPr w:rsidR="00910703" w:rsidSect="00982643">
      <w:headerReference w:type="default" r:id="rId12"/>
      <w:footerReference w:type="default" r:id="rId13"/>
      <w:pgSz w:w="16838" w:h="11906" w:orient="landscape"/>
      <w:pgMar w:top="709" w:right="850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8C2" w:rsidRDefault="00EA08C2" w:rsidP="00730EE3">
      <w:pPr>
        <w:spacing w:after="0" w:line="240" w:lineRule="auto"/>
      </w:pPr>
      <w:r>
        <w:separator/>
      </w:r>
    </w:p>
  </w:endnote>
  <w:endnote w:type="continuationSeparator" w:id="0">
    <w:p w:rsidR="00EA08C2" w:rsidRDefault="00EA08C2" w:rsidP="0073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41917"/>
      <w:docPartObj>
        <w:docPartGallery w:val="Page Numbers (Bottom of Page)"/>
        <w:docPartUnique/>
      </w:docPartObj>
    </w:sdtPr>
    <w:sdtEndPr/>
    <w:sdtContent>
      <w:p w:rsidR="00897D73" w:rsidRDefault="00897D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B23" w:rsidRPr="00894B23">
          <w:rPr>
            <w:noProof/>
            <w:lang w:val="ru-RU"/>
          </w:rPr>
          <w:t>1</w:t>
        </w:r>
        <w:r>
          <w:fldChar w:fldCharType="end"/>
        </w:r>
      </w:p>
    </w:sdtContent>
  </w:sdt>
  <w:p w:rsidR="00897D73" w:rsidRDefault="00897D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8C2" w:rsidRDefault="00EA08C2" w:rsidP="00730EE3">
      <w:pPr>
        <w:spacing w:after="0" w:line="240" w:lineRule="auto"/>
      </w:pPr>
      <w:r>
        <w:separator/>
      </w:r>
    </w:p>
  </w:footnote>
  <w:footnote w:type="continuationSeparator" w:id="0">
    <w:p w:rsidR="00EA08C2" w:rsidRDefault="00EA08C2" w:rsidP="00730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C2" w:rsidRPr="00486179" w:rsidRDefault="00EA08C2">
    <w:pPr>
      <w:pStyle w:val="a4"/>
      <w:rPr>
        <w:lang w:val="en-US"/>
      </w:rPr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62384"/>
    <w:multiLevelType w:val="hybridMultilevel"/>
    <w:tmpl w:val="335A7990"/>
    <w:lvl w:ilvl="0" w:tplc="8E7247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CC"/>
    <w:rsid w:val="00033ABD"/>
    <w:rsid w:val="000F3046"/>
    <w:rsid w:val="00213C33"/>
    <w:rsid w:val="0027036A"/>
    <w:rsid w:val="00314041"/>
    <w:rsid w:val="00435477"/>
    <w:rsid w:val="004359E4"/>
    <w:rsid w:val="00435EBF"/>
    <w:rsid w:val="00486179"/>
    <w:rsid w:val="00537D7A"/>
    <w:rsid w:val="005E435E"/>
    <w:rsid w:val="005F1566"/>
    <w:rsid w:val="00696979"/>
    <w:rsid w:val="00730EE3"/>
    <w:rsid w:val="007425D7"/>
    <w:rsid w:val="00894B23"/>
    <w:rsid w:val="00897D73"/>
    <w:rsid w:val="00903305"/>
    <w:rsid w:val="00910703"/>
    <w:rsid w:val="00982643"/>
    <w:rsid w:val="00A61395"/>
    <w:rsid w:val="00AD1640"/>
    <w:rsid w:val="00B81D38"/>
    <w:rsid w:val="00BA1EAD"/>
    <w:rsid w:val="00CA69CC"/>
    <w:rsid w:val="00CB35AC"/>
    <w:rsid w:val="00CC5647"/>
    <w:rsid w:val="00D25232"/>
    <w:rsid w:val="00EA02E0"/>
    <w:rsid w:val="00EA08C2"/>
    <w:rsid w:val="00F01740"/>
    <w:rsid w:val="00F1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7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EE3"/>
  </w:style>
  <w:style w:type="paragraph" w:styleId="a6">
    <w:name w:val="footer"/>
    <w:basedOn w:val="a"/>
    <w:link w:val="a7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EE3"/>
  </w:style>
  <w:style w:type="paragraph" w:styleId="a8">
    <w:name w:val="Balloon Text"/>
    <w:basedOn w:val="a"/>
    <w:link w:val="a9"/>
    <w:uiPriority w:val="99"/>
    <w:semiHidden/>
    <w:unhideWhenUsed/>
    <w:rsid w:val="0021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3C3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B3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7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EE3"/>
  </w:style>
  <w:style w:type="paragraph" w:styleId="a6">
    <w:name w:val="footer"/>
    <w:basedOn w:val="a"/>
    <w:link w:val="a7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EE3"/>
  </w:style>
  <w:style w:type="paragraph" w:styleId="a8">
    <w:name w:val="Balloon Text"/>
    <w:basedOn w:val="a"/>
    <w:link w:val="a9"/>
    <w:uiPriority w:val="99"/>
    <w:semiHidden/>
    <w:unhideWhenUsed/>
    <w:rsid w:val="0021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3C3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B3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22</Pages>
  <Words>24415</Words>
  <Characters>13917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User44</cp:lastModifiedBy>
  <cp:revision>19</cp:revision>
  <cp:lastPrinted>2022-01-04T12:28:00Z</cp:lastPrinted>
  <dcterms:created xsi:type="dcterms:W3CDTF">2021-12-07T08:48:00Z</dcterms:created>
  <dcterms:modified xsi:type="dcterms:W3CDTF">2022-01-04T12:29:00Z</dcterms:modified>
</cp:coreProperties>
</file>