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EE3" w:rsidRPr="00730EE3" w:rsidRDefault="00730EE3" w:rsidP="00730EE3">
      <w:pPr>
        <w:spacing w:after="0" w:line="240" w:lineRule="auto"/>
        <w:ind w:left="11907"/>
        <w:rPr>
          <w:rFonts w:ascii="Times New Roman" w:hAnsi="Times New Roman" w:cs="Times New Roman"/>
          <w:sz w:val="24"/>
          <w:szCs w:val="24"/>
        </w:rPr>
      </w:pPr>
      <w:r w:rsidRPr="00730EE3">
        <w:rPr>
          <w:rFonts w:ascii="Times New Roman" w:hAnsi="Times New Roman" w:cs="Times New Roman"/>
          <w:sz w:val="24"/>
          <w:szCs w:val="24"/>
        </w:rPr>
        <w:t xml:space="preserve">СХВАЛЕНО </w:t>
      </w:r>
    </w:p>
    <w:p w:rsidR="00730EE3" w:rsidRPr="00730EE3" w:rsidRDefault="00730EE3" w:rsidP="00730EE3">
      <w:pPr>
        <w:spacing w:after="0" w:line="240" w:lineRule="auto"/>
        <w:ind w:left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730EE3">
        <w:rPr>
          <w:rFonts w:ascii="Times New Roman" w:hAnsi="Times New Roman" w:cs="Times New Roman"/>
          <w:sz w:val="24"/>
          <w:szCs w:val="24"/>
        </w:rPr>
        <w:t>ішенням виконкому</w:t>
      </w:r>
    </w:p>
    <w:p w:rsidR="00730EE3" w:rsidRDefault="00730EE3" w:rsidP="00730EE3">
      <w:pPr>
        <w:spacing w:after="0" w:line="240" w:lineRule="auto"/>
        <w:ind w:left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30EE3">
        <w:rPr>
          <w:rFonts w:ascii="Times New Roman" w:hAnsi="Times New Roman" w:cs="Times New Roman"/>
          <w:sz w:val="24"/>
          <w:szCs w:val="24"/>
        </w:rPr>
        <w:t>ід ____ грудня 2021 року №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30EE3" w:rsidRPr="00730EE3" w:rsidRDefault="00730EE3" w:rsidP="00730EE3">
      <w:pPr>
        <w:spacing w:after="0" w:line="240" w:lineRule="auto"/>
        <w:ind w:left="11907"/>
        <w:rPr>
          <w:rFonts w:ascii="Times New Roman" w:hAnsi="Times New Roman" w:cs="Times New Roman"/>
          <w:sz w:val="24"/>
          <w:szCs w:val="24"/>
        </w:rPr>
      </w:pPr>
    </w:p>
    <w:p w:rsidR="0027036A" w:rsidRPr="00730EE3" w:rsidRDefault="00730EE3" w:rsidP="00730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EE3">
        <w:rPr>
          <w:rFonts w:ascii="Times New Roman" w:hAnsi="Times New Roman" w:cs="Times New Roman"/>
          <w:b/>
          <w:sz w:val="28"/>
          <w:szCs w:val="28"/>
        </w:rPr>
        <w:t>П</w:t>
      </w:r>
      <w:r w:rsidR="00A61395">
        <w:rPr>
          <w:rFonts w:ascii="Times New Roman" w:hAnsi="Times New Roman" w:cs="Times New Roman"/>
          <w:b/>
          <w:sz w:val="28"/>
          <w:szCs w:val="28"/>
          <w:lang w:val="ru-RU"/>
        </w:rPr>
        <w:t>лан</w:t>
      </w:r>
      <w:r w:rsidRPr="00730EE3">
        <w:rPr>
          <w:rFonts w:ascii="Times New Roman" w:hAnsi="Times New Roman" w:cs="Times New Roman"/>
          <w:b/>
          <w:sz w:val="28"/>
          <w:szCs w:val="28"/>
        </w:rPr>
        <w:t xml:space="preserve"> дій із впровадження Європейської Енергетичної Відзнаки у місті Нововолинську</w:t>
      </w:r>
    </w:p>
    <w:tbl>
      <w:tblPr>
        <w:tblW w:w="5105" w:type="pct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4A0" w:firstRow="1" w:lastRow="0" w:firstColumn="1" w:lastColumn="0" w:noHBand="0" w:noVBand="1"/>
      </w:tblPr>
      <w:tblGrid>
        <w:gridCol w:w="624"/>
        <w:gridCol w:w="1962"/>
        <w:gridCol w:w="343"/>
        <w:gridCol w:w="1235"/>
        <w:gridCol w:w="1501"/>
        <w:gridCol w:w="1353"/>
        <w:gridCol w:w="1138"/>
        <w:gridCol w:w="1457"/>
        <w:gridCol w:w="567"/>
        <w:gridCol w:w="567"/>
        <w:gridCol w:w="567"/>
        <w:gridCol w:w="567"/>
        <w:gridCol w:w="567"/>
        <w:gridCol w:w="401"/>
        <w:gridCol w:w="897"/>
        <w:gridCol w:w="1700"/>
      </w:tblGrid>
      <w:tr w:rsidR="00730EE3" w:rsidRPr="00910703" w:rsidTr="00213C33">
        <w:trPr>
          <w:trHeight w:val="285"/>
        </w:trPr>
        <w:tc>
          <w:tcPr>
            <w:tcW w:w="202" w:type="pct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№ заходу EEA</w:t>
            </w:r>
          </w:p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746" w:type="pct"/>
            <w:gridSpan w:val="2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Заходи</w:t>
            </w:r>
          </w:p>
        </w:tc>
        <w:tc>
          <w:tcPr>
            <w:tcW w:w="400" w:type="pct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Пріоритетність</w:t>
            </w: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924" w:type="pct"/>
            <w:gridSpan w:val="2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Відповідальний відділ (особа)</w:t>
            </w:r>
          </w:p>
        </w:tc>
        <w:tc>
          <w:tcPr>
            <w:tcW w:w="368" w:type="pct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Джерело фінансування</w:t>
            </w: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71" w:type="pct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Зв</w:t>
            </w: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val="en-US" w:eastAsia="uk-UA"/>
              </w:rPr>
              <w:t>’</w:t>
            </w: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язок з цільовими програмами</w:t>
            </w:r>
          </w:p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183" w:type="pct"/>
            <w:vMerge w:val="restart"/>
            <w:shd w:val="clear" w:color="auto" w:fill="8EAADB" w:themeFill="accent5" w:themeFillTint="99"/>
            <w:textDirection w:val="btLr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#</w:t>
            </w:r>
          </w:p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vMerge w:val="restart"/>
            <w:shd w:val="clear" w:color="auto" w:fill="8EAADB" w:themeFill="accent5" w:themeFillTint="99"/>
            <w:textDirection w:val="btLr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#</w:t>
            </w:r>
          </w:p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vMerge w:val="restart"/>
            <w:shd w:val="clear" w:color="auto" w:fill="8EAADB" w:themeFill="accent5" w:themeFillTint="99"/>
            <w:textDirection w:val="btLr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#</w:t>
            </w:r>
          </w:p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vMerge w:val="restart"/>
            <w:shd w:val="clear" w:color="auto" w:fill="8EAADB" w:themeFill="accent5" w:themeFillTint="99"/>
            <w:textDirection w:val="btLr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#</w:t>
            </w:r>
          </w:p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vMerge w:val="restart"/>
            <w:shd w:val="clear" w:color="auto" w:fill="8EAADB" w:themeFill="accent5" w:themeFillTint="99"/>
            <w:textDirection w:val="btLr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#</w:t>
            </w:r>
          </w:p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22" w:type="pct"/>
            <w:gridSpan w:val="2"/>
            <w:shd w:val="clear" w:color="auto" w:fill="8EAADB" w:themeFill="accent5" w:themeFillTint="99"/>
            <w:vAlign w:val="center"/>
            <w:hideMark/>
          </w:tcPr>
          <w:p w:rsidR="00730EE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 xml:space="preserve">Статус впровадження </w:t>
            </w:r>
          </w:p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</w:p>
        </w:tc>
        <w:tc>
          <w:tcPr>
            <w:tcW w:w="550" w:type="pct"/>
            <w:vMerge w:val="restart"/>
            <w:shd w:val="clear" w:color="auto" w:fill="8EAADB" w:themeFill="accent5" w:themeFillTint="99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Коментарі щодо впровадження заходу</w:t>
            </w:r>
            <w:r w:rsidRPr="00BA1EA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746" w:type="pct"/>
            <w:gridSpan w:val="2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400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924" w:type="pct"/>
            <w:gridSpan w:val="2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368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471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3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3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3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3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83" w:type="pct"/>
            <w:vMerge/>
            <w:shd w:val="clear" w:color="B6DDE8" w:fill="B6DDE8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31" w:type="pct"/>
            <w:shd w:val="clear" w:color="auto" w:fill="8EAADB" w:themeFill="accent5" w:themeFillTint="99"/>
            <w:vAlign w:val="center"/>
            <w:hideMark/>
          </w:tcPr>
          <w:p w:rsidR="00730EE3" w:rsidRPr="00BA1EAD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BA1EA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%</w:t>
            </w:r>
          </w:p>
        </w:tc>
        <w:tc>
          <w:tcPr>
            <w:tcW w:w="291" w:type="pct"/>
            <w:shd w:val="clear" w:color="auto" w:fill="8EAADB" w:themeFill="accent5" w:themeFillTint="99"/>
            <w:vAlign w:val="center"/>
            <w:hideMark/>
          </w:tcPr>
          <w:p w:rsidR="00730EE3" w:rsidRPr="00BA1EAD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BA1EA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Статус</w:t>
            </w:r>
          </w:p>
        </w:tc>
        <w:tc>
          <w:tcPr>
            <w:tcW w:w="550" w:type="pct"/>
            <w:vMerge/>
            <w:shd w:val="clear" w:color="auto" w:fill="8EAADB" w:themeFill="accent5" w:themeFillTint="99"/>
            <w:vAlign w:val="center"/>
            <w:hideMark/>
          </w:tcPr>
          <w:p w:rsidR="00730EE3" w:rsidRPr="00BA1EAD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Стратегії розвитку громади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bookmarkEnd w:id="0"/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Розроблення та затвердження комплексного плану просторового розвитку територій територіальної громади, генеральних планів населених пунктів, детальних планів території, їх оновлення та внесення змін до них.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містобудування та земельних відносин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сектор містобудування та архітектури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Плану дій сталого енергетичного розвитку та клімату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Нововолинської міської територіальної громади до 2030 року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Укладено угоду з УНЕА до 31.12.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2021 року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1.1.5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Перегляд Програми поводження з твердими побутовими відходами у Нововолинську на 2020-2024 роки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поводження з твердими побутовими відходами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 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Розробити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конкретний план дій щодо впровадження сортування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ТПВ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співпраці з бізнесом, пошуку інвесторів, інформаційної кампанії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1.1.5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Створення первинної інфраструктури для роздільного збору відходів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поводження з твердими побутовими відходами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 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Врахування пунктів: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изначення місць, де будуть розміщені контейнери 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ля роздільного збору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ридбання та розміщення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контейнерів у вибраних місцях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наліз попиту на вторинні матеріали, а також пошук бізнес-партнерів щодо переробки відходів,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підписання контрактів з відповідними ко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мпаніями з переробки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торинна переробка 20% зібраних муніципальних твердих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 порівнянні з 5-6%, що є станом на зараз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1.2.1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Актуалізація Генплану відповідно до норм адміністративної реформи та з урахуванням території новоствореної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Нововолинської міської територіальної громади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містобудування та земельних відносин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сектор містобудування та архітектури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Генплан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Врахувати елементи просторового та енергетичного планування при актуалізації документу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Простор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ового енергетичного плану для Нововолинської міської територіальної громади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містобудування та земельних відносин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сектор містобудування та архітектури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Маючи кілька рів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нів енергетичної інфраструктури та,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ключаючи схему щільності споживання енергії, що показує щільність потреби в енергії з метою узгодження цієї потреби з відповідними джерелами енергії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Запровадження елементів ГІС систем з енергетичним та просторовим плануванням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якості пілотного проекту: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-створення програмного забезпечення системи ГІС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-наповнення елементами бази даних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-створення різних пластів (комунальні мережі водопостачання, мережі ЦТС, зелені зони, тощо)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Реалізація схеми теплопостачання на період до 2028 року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дівництва та інфраструктури, КП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435477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Схема теплопостачання до 2028, Програма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оптимізації системи теплопостачання Нововолинської міської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територіальної громади на 2021-2025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Р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Відключення споживачів, неперспективних ділянок мережі та неперспективних котелень. Реалізація альтернативн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их рішень, описаних у документі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1.2.2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Плану сталої міської мобільност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435477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Відділ транспорту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та зв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’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Схеми організації дорожнього руху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Відділ транспорту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та зв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’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Наявні 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лани на 2022 рік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обка Концепції велотранспорту м. Нововолинськ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Відділ транспорту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та зв</w:t>
            </w:r>
            <w:r w:rsidRPr="00435477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’язку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Врахування рекреаційного значення та благоустрою міського озера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спеціальних вимог до енергоефективності, при продажі міської землі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містобудування та земельних відносин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1.4.1.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Запровадження більш жорстких технічних та екологічних вимог до нового будівництва та капітальної реконструкції до житлових будівель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Запровадження більш жорстких технічних та екологічних вимог до нового будівництва та капітальної реконструкції муніципальних будівель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Не менше 20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% охоплення, кількість демонстраційних будівель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Запровадження системи автоматизованого моніторингу споживання енергії та води у громадських будівлях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 (енергоменеджер)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Розпорядження міського голови "Про створення системи управління і моніторингу споживання енергоресурсів"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Покращення системи управління даними, розглянути можливість запровадження системи мотивації учасників СЕМ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Керівництво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2.1.3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Програми підвищення  енергоефективності для муніципальних будівель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Управління освіти,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КНП «НЦМЛ», КНП «ПМСД»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відділ культури,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інвестицій, 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Використовуючи досвід подібних громад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2.1.4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Будівництво та реконструкція громадських будівель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Управління освіти,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КНП «НЦМЛ», КНП «ПМСД»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відділ культури,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управління економічного розвитку,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проектної діяльності та інвестицій, відділ проектної діяльності та інвестицій, 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ові 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Програма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соціально-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Заклади ДНЗ, заклади позашкілля, ліцеї громади,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заклади охорони здоров’я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Опрацювання оптимальних механізмів експлуатації котелень, які обслуговують об'єкти муніципальної сфери і працюють на щепі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«Нововолинськтеплокомуненерго»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Перегляд співпраці з підрядниками в напрямку пошуку найоптимальніших для розвитку відновлюваних джерел енергії в громаді</w:t>
            </w:r>
          </w:p>
        </w:tc>
      </w:tr>
      <w:tr w:rsidR="00730EE3" w:rsidRPr="00910703" w:rsidTr="00213C33">
        <w:trPr>
          <w:trHeight w:val="1680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Встановлення електрогенеруючого обладнання на муніципальних об'єктах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«Нововолинськтеплокомуненерго»,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-проаналізувати об'єкти де є найбільша потреба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/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можливості для встановленні електрогенеруючого обладнання, </w:t>
            </w:r>
          </w:p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-залучити фахівців,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розробка техніко-економічного обґрунтування на окремі об'єкти бюджетної сфери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пошук інвестиційних, грантових можливостей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Дослідження можливостей щодо встановлення фотовол. станцій та щодо відведення земельної ділянки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термомодернізація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закладів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дошкільної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освіти та впровадження в них енергоефективних заходів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Заклади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дошкільної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освіти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м. Нововолинськ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та смт. Благодатне №1,2,3,4,5,6,7,8,9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Комплексна термомодернізація ліцеїв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 термомодернізація ліцеїв №1,2,3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,4,5,6,8,9 м.Нововолинська та смт.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 термомодернізація ДЮСШ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 термомодернізація МНВК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Впровадження енергоефективних заходів  в закл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адах культу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ри міста Нововолинська та смт Благодатне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культури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Впровадження енергоефективних заходів у Нововолинському міському палаці культури, будинку культури в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Благодатне, Нововолинській дитячій школі мистецтв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Комплексна термомодернізація будівлі Нововолинської міської ради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Виконавчий комітет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Нововолинської 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3053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Впровадження енергоефективних заходів та комплексна термомодернізація будівель сфери охорони здоров’я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КНП «НЦМЛ», КНП «ПМСД», відділ проектної діяльності та інвестицій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Будівля хірургічно-травматологічного корпусу КНП «НЦМЛ», будівля терапевтичного корпусу КНП «НЦМЛ», будівлі інфекційного корпусу КНП «НЦМЛ», будівля пологового корпусу КНП «НЦМЛ», будівля корпусу поліклініки КНП «НЦМЛ», будівля корпусу екстрен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ої медичної допомоги КНП «НЦМЛ»,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амбулаторії КНП «ПМСД»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Встановлення транспортабельних котелень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схема те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- тепловою потужністю 2,7 МВт на ЦТП 6-ого мікрорайону за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адресою 6-мікрорайон буд.№2а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- у кількості 2 од. на 5 і 6 мікрорайонах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 Нововолинськ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Заміна існуючих аварійних котлів або технічне переоснащення існуючих котлів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схема те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 з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аміна існуючих аварійних котлів КСВТ-3,0 у кількості 4 од. на нові аналогічні котли на котельні 26 кварталу (стара)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Нововолинськ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-з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аміна існуючих аварійних котлів ТВГ-8М у кількості 2 од. на нові аналогічні котли на котельні 26 кварталу (нова)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Нововолинськ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-т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ехнічне переоснащення існуючих котлів КВГ-7,56 у кількості 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од. на котельні 66 кварталу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инськ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-т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ехнічне переоснащення існуючого котла КВГ-7,56 на котельні Шахтар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ського м-ну  м. Нововолинськ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-з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аміна існуючих газових котлів КБНГ-2,5 у кількості 3 од. на нові твердопаливні котли з механізованою подачею палива одиничною потужністю по 2,5 МВт 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котельні смт. Благодатне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становлення частотно-регулюючого пристрою у кількості 2 од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. на котельні 15-мікроарйону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Реконструкція теплом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ереж міста Нововолинська та смт.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схема те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- мереж котельні 26 кварталу (стара) м. Нововолинськ: комплексну заміну трубопроводів у двотрубному вимірі на попередньо ізольовані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здійснюватимуть у 3 етапи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-тепломережі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котельні 26 кварталу (нова)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Нововолинськ: комплексну заміну трубопроводів у двотрубному вимірі на попередньо ізольовані здійснюватимуть у 3 етапи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-тепломережі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котельні Шахтарського м-ну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Нововолинськ: комплексну заміну трубопроводів у двотрубному вимірі на попередньо ізольовані здійснюватимуть у 3 етапи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 тепломережі котельні смт. Благодатне: комплексну заміну трубопроводів у двотрубному вимірі на попередньо ізольовані здійснюватимуть у 2 етапи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Ізоляція або заміна розподільчих трубопроводів системи центрального теплопостачання плюс модернізація котелень, можливо, включаючи когенерацію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Схема теплопостачання г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енеральний план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Схема теплопостачання розроблена з перспективою до 2028 року: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-реалізовані заходи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-план заходів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Капітальний ремонт системи опалення \Реконструкція системи опалення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Схема теплопостачання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Схема теплопостачання розроблена з перспективою до 2028 року: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-реалізовані заходи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-план заходів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Заміна ламп ро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зжарювання на світлодіодні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 закладах освіти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м. Нововолинськ та сел. Благодатне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Заміна електроплит у харчоблоці КНП «НЦМЛ»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КНП «НЦМЛ»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Модернізація джерел внутрішнього освітлення та електроплит у бюджетних закладах (школи та садочки) 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ПДСЕРК до 2030 року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Заміна всіх існуючих світильників на вулицях, дорогах та скверах на нові енергоефективні LED з функцією диміювання, меншою потужністю та з покращеною світловіддачею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реформування і розвитку житлово-комунального господарства, екології, дорожнього руху та його безпеки в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Нововолинськ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 на 2020-2024 роки,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 кількості 3889 одиниць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Модернізація всіх старих ШУВО (шаф управління вуличного освітлення);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реформування і розвитку житлово-комунального господарства, екології, дорожнього руху та його безпеки в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та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 на 2020-2024 роки,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Заміна всіх існуючих не ізольованих ЛЕП на нові СІП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реформування і розвитку житлово-комунального господарства, екології, дорожнього руху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та його безпеки в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та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 на 2020-2024 роки,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Довжиною 82,75 км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2.3.1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Заміна аварійних опор та опор, які знаходяться в незадовільному стані з відновленням контурів захисного заземлення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ні кошти 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реформування і розвитку житлово-комунального господарства, екології, дорожнього руху та його безпеки в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та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 на 2020-2024 роки,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2.3.2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Капітальний ремонт водопостачання та водовідведення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«Нововолинсьководоканал»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 підприємства,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документу щодо Просторового енергетичного планування Нововолинська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містобудування і земельних відносин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Плата за мережі та використання доходів - спрямувати кошти від оренди муніципальних мереж (постачальником тепла що отримують від котелень на щепі) на заходи з енергоефективності)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«Нововолинськтеплокомуненерго»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Розглянути можливість створення Муніципального ЕСКО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Використання «розумного»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обліку споживання енергоресурсів та обм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іну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даними - встановлення «розум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них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»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лічильників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", КП "Нововолинськводоканал",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ТзОВ «Теплопостача»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інші по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стачальні організації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3.2.3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Встановлення та дооснащення встановлених лічильників обліку теплової енергії системою дистанційної передачі показників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кількості 33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од. у спожив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ачів котельні 15-мікроарйону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Нововолинськ, в кількості 30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од. у споживачів 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отельні 26 кварталу (стара)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Нововолинськ, в кількості 82 од. у споживачів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котельні 26 кварталу (стара)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Нововолинськ, в кількості 18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од. у споживачів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котельні 26 кварталу (нова)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Нововолинськ, в кількості 116 од. у споживачів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котельні 26 кварталу (нова)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Нововолинськ, в кількості 71 од. у споживачів котельн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 66 кварталу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Нововолинськ, в кількості 52 од. у споживачів котельні Шахтарського м-ну  м. Нововолинськ, в кількості 27 од. у споживачів котельні смт. Благодатне, в кількості 34 од. у спожи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вачів котельні смт. Благодатне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Ідентифікація джерел відпрацьованого тепла, розробка техніко- економічного обґрунтування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Здійснити аналіз потенційних об'єктів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Розглянути можливість встановлення теплових насосів на об'єктах комунальної інфраструктури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комуненерго", КП "Нововолинськводоканал",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Беручи за приклад позитивн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ий досвід КП "Нововолинськ-водоканал»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Вивчення можливості переведення котлів системи центрального теплопостачання на спалювання біомаси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Схема теплопостачання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Впровадження енергоефективних заходів у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приватних житлових будинках індивідуальної забудови (414 од.) та заміщення природного газу альтернативним паливом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Заміна вікон, дверей, утеплення зовнішніх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стін, утеплення даху, реконструкція системи опалення та заміна газових котлів на твердопаливні котли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3.3.3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Впровадження відновлювальних джерел енергії  - Встановлення СЕС одиничною потужністю 30 кВт (30 од.)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ind w:right="-49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3.3.4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Визначення потенціалу використання скидного тепла та когенерації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"Нововолинськтепло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комуненерго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"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Схема теплопостачання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Оптимізація роботи системи водопостачання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"Нововолинськводоканал",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Розробка та використання оптимізованої схеми водопостачання на базі гідравлічної моделі мереж водопостачання із застосуванням сучасних комп’ютерно-гідравлічних програм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Облаштування вузлами комерційного обліку холодної води багатоквартирні будинки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"Нововолинськводоканал",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центр розвитку ОСББ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 кількості 208 одиниць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Належна поточна експлуатація системи водопостачання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"Нововолинськводоканал",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план, 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3.4.3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концепції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благоустрою міського озера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3.4.3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Капітальні ремонти та реконструкції парків і зелених зон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3.5.1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Проект Реконструкції установки каналізаційних очисних споруд (КОС)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"Нововолинськводоканал",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Інвестиційний план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3.5.1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Встановлення частотно-регулюючого пристрою на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повітродувній станції КОС смт. Благодатне та міста Нововолинськ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КП "Нововолинськводоканал",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Інвестиційний план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 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становлення частотно-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регулюючого пристрою 1 од. DANFOSS VLT Micro Drive FC-51 (7,5 кВт) на повітродувні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й станції КОС смт.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;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 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становлення частотно-регулюючого 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ристрою 2 од. (АВВ  ACS 580 200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кВт) на повітродувній станції КОС 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3.5.4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Реконструкція та будівництво мереж зливової каналізації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Врахування будівництва елементів дощової каналізації при реконструкції доріг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3.5.4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Організація збору дощової води у місті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соціально-економічного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3.5.4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Розбудова дренажної системи парків та зелених зон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державний бюджет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благоустрою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3.6.1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Рекультивація старого полігону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Виробниче управління комунального господарства Нововолинської міської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державний бюджет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на 2021 рік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3.6.1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Завершення будівництва  нової черги полігону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Виробниче управління комунального господарства Нововолинської міської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державний бюджет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поводження з тверд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ими побутовими відходами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3.6.1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Удосконалення/створення первинної інфраструктури для роздільного збору відходів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Виробниче управління комунального господарства Нововолинської міської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поводження з тверд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ими побутовими відходами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Чітко прописати алгоритм дій з впровадження інфраструктури роздільного збору відходів: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3.6.2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системи компостування органічних відходів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Виробниче управління комунального господарства Нововолинської міської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Програма поводження з твердими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обутовими відходами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рахування елементів утилізації органічних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відходів 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Цільовій програмі: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изначення місць, де будуть розміщені контейнери 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ля роздільного збору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ридбання та розміщення конт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ейнерів у вибраних місцях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наліз попиту на вторинні матеріали, а також підписання контрактів з відповідними ко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мпаніями з переробки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ідвищення обізнаності громадян що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до роздільного збору відходів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торинна переробка щонайменше 15% зібраних муніципальних твердих відходів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3.6.2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Аналіз можливос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ей 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нергетичного використання звалищ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ного газу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Виробниче управління комунального господарства Нововолинської міської ради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поводження з твердими побутовими від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ходами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у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Нововолинську 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Закупівля транспортних засобів для перевезення чиновників та господарських потреб здійснюється  через електронну систему «Prozorro», відповідно до положень ЗУ «Про публічні закупівлі».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Виконавчий комітет Нововолинської міської ради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юридичний відділ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Закупівля здійснюються із застосуванням таких принципів як: максимальна економія коштів, ефективність, добросовісна конкуренція серед учасників СПД, та врахування елементів впливу на навколишнє середовище ТЗ.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Новостворена муніципальна варта виконує функції управління місцями для паркування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муніципальної варти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Положення про муні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ц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пальну варту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1. Впорядкування місць для паркування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2. Налагодження комунікації з жителями громади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4.2.2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Проектування будівництва, капітальних ремонтів та реконструкцій вулиць, що належать до основних транспортних осей;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підвищення безпеки та комфорту на основних магістралях міста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державний бюджет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 програма розвитку житлово -комунального господарства, екології, доро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жнього руху та його безпеки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Нововолинська та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смт. Благодатне на 2020-2024 рр.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Облаштування привабливого дизайну громадських просторів і засобів зниження швидкості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 програма розвитку житлово -комунального господарства, екології, дорожнього руху та його безп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еки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Нововолинська та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смт. Благодатне на 2020-2024 рр.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Перелік таких об’єктів запланувати наприклад в Програмі благоустрою чи в іншому ко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цептуальному документі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Розвиток мережі пішохідних доріжок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 програма розвитку житлово -комунального господарства, екології, дор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ожнього руху та його безпеки м. Нововолинська та смт.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Благодатне на 2020-2024 рр.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Default="00730EE3" w:rsidP="008536C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20" w:hanging="41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</w:t>
            </w:r>
            <w:r w:rsidRPr="005F156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лагоустрій пішохідних доріжок;</w:t>
            </w:r>
          </w:p>
          <w:p w:rsidR="00730EE3" w:rsidRPr="005F1566" w:rsidRDefault="00730EE3" w:rsidP="008536C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20" w:hanging="41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</w:t>
            </w:r>
            <w:r w:rsidRPr="005F1566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удівництво нових пішохідних доріжок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Облаштування велодоріжок при реконструкції чи будівництві об’єктів дорожної інфраструктури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Комплексна програма розвитку житлово -комунального господарства, екології, доро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жнього руху та його безпеки  м. 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Нововолинська та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см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т. Благодатне на 2020-2024 рр.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Відповідно до концепції велотранспорту міста Нововолинська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Розбудова велосипедної інфраструктури в Нововолинській міській територіальній  гром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аді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(ч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ерез значну інвестиційну вартість даного заходу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пропонується його реалізацію у два етапи)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будівництва та інфраструктури, громадські активісти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приватні 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Розбудова велосипедної інфраструктури Нововолинської МТГ включає: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1. Розробку програми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розвитку вело руху Нововолинської МТГ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2.Промоційні та інформаційні заходи щодо популяризації вело транспорту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3. Велоуроки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4. Розробка ПКД, влаштування велосмуг, будівництво велодоріжок, велосипедних паркомісць 71од., сервісів технічного ремонту та поточного обслуговування велосипедів.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4.3.3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Здійснення інвентаризації велопарковок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контролю  за благоустроєм та санітарним станом міста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ограма благоустрою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-кількість велопарко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вок біля громадських об'єктів;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-кількість   велопар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ковок біля приватних об'єктів;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Впровадження системи електронного квитка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транспорту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зв’язку 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Правила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користування міським та приміським пасажирським транспортом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у Нововолинській міській територіальній громаді 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-Охоплено ТЗ на маршрутах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-Яа результативність використання?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Встановлення пристроїв GPS навігації на решта маршрутів громадського транспорту та встановлення розумних табло.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транспорту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зв’язку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Правила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користування міським та приміським пасажирським транспортом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у Нововолинській міській територіальній громаді, Умови організації та проведення конкурсу з відбору перевізників на автобусних маршрутах 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Встановлення пристроїв GPS навігації на решта маршрутів громадського транспорту у кількості 7 од. та встановлення розумних табло у кількості 10 од.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4.4.1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Співпраця з перевізниками на маршрутах щодо придбання екологічних ТЗ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транспорту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зв’язку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4.4.3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Розвиток прокату велосипедів, електросамокатів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транспорту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зв’язку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Приватні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4.5.2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Розроблено та продовжується вдосконалення нормативних актів для введення стандартів побудови та реконструкції транспортної та дотичної інфраструктури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транспорту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зв’язку,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правління будівництва та інфраструктури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Пошук кадрів дл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я сфери енергетики та клімату;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ф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ормування ключових показників ефективності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іл персоналу, 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ідділ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 разі створення або покладання цих функцій на певний орган виконавчої влади, відбір та залучення молодих спеціалістів до кадрового резерву. Участь у розробці ключових показників ефективності діяльності працівників Нововолинської міської ради.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Ефективна робота робочої групи ЄЕВ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Голова робочої групи,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начальник та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головний спеціаліст відділу проектної діяльності та інвестицій (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-кількість згенерованих рішень, ініціатив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-ефективність виконання плану у відсотках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Мотивація фахівців, що дотичні до напрямків впровадження ЄЕВ через систему преміювання, бонусів, тематичних поїздок, тощо за згенеровані ідеї, ініціативи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Голова робочої групи,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начальник та головний спеціаліст відділу проектної діяльності та інвестицій (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Залучення спеціалістів з різних структурних підрозділів до реалізації масштабних заходів (Тиждень сталої енергії, Тиждень мобільності, тощо)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Голова робочої групи,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начальник та головний спеціаліст відділу проектної діяльності та інвестицій (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приватні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-перелік заходів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-кількість залученого персоналу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Проведення періодичних нарад, моніторинг даних, аналітика процесів ЄЕВ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Голова робочої групи,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начальник та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головний спеціаліст відділу проектної діяльності та інвестицій (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-виконання Плану у якісному та кількісному вимі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;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ротоколи засідань робочої групи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Підготовка Програми підвищення кваліфікації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кадрів у сфері  енергетики та клімату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Голова робочої групи,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начальник та головний спеціаліст відділу проектної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діяльності та інвестицій (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енергоменеджер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5.2.4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Врахувати при здійсненні закупівель: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 - клас ефективності обладнання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 екологічні миючі засоби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 - придбання місцевої флори для парків та скверів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Юридичний відділ, спеціаліст з тендерних закупівель 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Муніципалітет Нововолинська практикує правила закупівель, де враховано енергетичні та кліматичні фактори для ТЗ та реконструкції об'єктів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5.3.1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Планування бюджету на енергетичну та кліматичну політику громади, зокрема розробку основних концепцій/програм, залучення необхідних кадрів, експертів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фін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нсове управління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вказати суму та плановані до розробки програми (плани, концепції, ТЕО, тощо)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6.1.1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Розробка концепції комунікації та співпраці в контексті енергетики та змін клімату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6.1.2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Розширене використання логотипу Європейської енергетичної відзнаки на сайті, промоційних матеріалах, згадка на брифінгах, інформаційних нагодах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цифрової трансформації та комунікацій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Сприяння та підтримка впровадження енергозберігаючих заходів у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житловому фонді, підтримка діяльності Центру ОСББ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«Центр розвитку ОСББ»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підтримки ОСББ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Програма ФЕЕ «Тепла оселя»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Енергомодернізація багатоквартирних житлових будинків ОСББ у кількості 40 од.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(Через значну інвестиційну вартість даного заходу пропонується його реалізацію у два етапи), а також багатоквартирного житлового будинку ОСББ «Шахтар-23», ОСББ «Комфорт НВ», ОСББ «Аліна-НВ», ОСББ «Мій дім-НВ», ОСББ «Бульвар-34», ОСББ «Озерне-25А», 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«Центр розвитку ОСББ»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державний бюджет, кредит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підтримки ОСББ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Енергомодернізація в рамках програми «Енергодім» передбачає реалізацію заходів Пакету-Б: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встановлення ІТП, теплоізоляція трубопроводів опалення в неопалювальних приміщеннях, гідравлічне балансування, утеплення зовнішніх стін , утеплення даху/горища,  заміна зовнішніх дверей та облаштування тамбура, заміна вікон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у МЗК, модернізація системи освітлення у МЗК, теплоізоляція трубопроводів опалення в МЗК та заміна вікон та балконних блоків у квартирах із склінням балконів і лоджій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6.2.2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Участь Нововолинська у заходах, проєктах, програмах, щодо обміну досвідом між громадам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міжнародного співробітництва, туризму та промоції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Заключення угод про співпрацю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Участь в партнерських проєктах з іншими громадами щодо впровадження заходів в контексті енергетики та клімату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«Польща-Білорусія-Україна»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Заплановані контакти, зу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стрічі, наради  з регіональними/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національними органами влади в контексті реалізації енергетичної та кліматичної політики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 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ланування діалогу і співпраці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Керівництво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Отримання погоджень щодо експлуатації полігону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щодо отримання кредиту; лобіювання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інтересів громади щодо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зниження цін на споживання природно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го газу для комунальних установ тощо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Проведення круглих столів, практикумів за участі представників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вищих навчальних закладів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Участь фахового університетського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середовища в розробці програм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планів, концепцій що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 енергетики, клімату, мо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ільності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Організація та проведення уроків з питань енергозбереження.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1. Проведення уроків енергозбереження вчителями фізики для ознайомлення учнів із сучасними методами енергозбереження, відновлюваними джерелами енергії та основними принципами енергоменеджменту для використання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вдома.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2. Разом із учнями школи розміщені інформаційні таблички біля кранів, вимикачів світла та розеток про важливість енергозбереження.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3. На базі однієї зі шкіл проводиться навчання енерго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збереження для учнів шкіл Нововолинська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. Проведення майстер-класів, інтерактивних конкурсів та із залученням науковців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ВНЗ,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спільне виробництво простих джерел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відновлюваної енергії з використанням робототехніки НЕМК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6.2.5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Розміщення інформаційних таблиць поруч із кранами, вмикачами світла та розетками про важливість енергозбереження.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6.2.5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Участь школярів у Тижні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сталої енергії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Тижні Сталої мобільності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освіти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6.3.1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Запровадження програми екологічної та енергетичної  підтримки для промисловості та компаній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озробка, сприяння та проведення програми екологічної підтримки для підприємств, підтримки розвитку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енергоефективних підприємств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-з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апровадження нагород “Екологічне підприємство” та виконання інформаційно-прос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вітницької програми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-в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иконання програми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щодо підтримки підприємств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6.3.2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Співпраця з Інвесторами (в тому числі Проекти Міжнародної технічної та фінансової допомоги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I5P, НЕФ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КО, ЄБРР, ЄІБ, GIZ) щодо високих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стандартів енергоефек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тивнос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ті та ВДЕ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приватні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півпраця з «Clear energy» та подібними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організаціями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демо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нстраційний проект ЄС, план дій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на 2022-2024 роки 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6.3.3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Маркетинг розташування - ініціювання проведення заходів для зацікавлених сторін, форумів, ярмарок, майстерні розвитку, за участі 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ізнесу, щодо розвитку екологічно чистих підприємств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тощо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відділ міжнародного співробітництва, тризму та промоцій, управління цифрової трансформації та комунікацій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приватні 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6.3.4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Заходи в напрямку під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римки сталого використання лісів та сільськог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осподарських угідь з метою вироб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лення енергії з місцевої сировини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6.4.1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Реалізація проектів громадського бюджету в контек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ті енергоефективності та клімату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Проект бюджету, Програма соці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льно-ек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номічного розвитку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6.4.2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Поширення інформаційних матеріалів для сприяння впровадженню енергозберігаючих заходів для місцевого населення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управління цифрової трансформації та комунікації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-с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творення системи (програми) підтримки інформаційної та освітньої діяльності третіх сторін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;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-н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адання регулярної підтримки третім сторонам (ГО, зацікавленим особам,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громадським активістам, тощо)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-о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рганізація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публічних інформаційних заходів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6.4.2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Популяризація енергоощадності в системах електроспоживання через інформаційно-просвітницькі кампанії  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управління цифрової трансформації та комунікації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6.4.3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Співпраця з ГО в контексті сфер відзнаки: клімат, енергоеф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ктивність,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мобільність, управління відходами, ВДЕ, тощо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</w:t>
            </w:r>
            <w:r w:rsidR="00730EE3"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грант</w:t>
            </w:r>
            <w:r w:rsid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ові кошти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 створення ініціативних груп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-підтримка міською радою заходів, 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ініційованих мешканцями, особливо в ін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ф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ормаційному контексті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EEA 6.5.1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Діяльність новоствореного центру підтримки ОСББ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«Центр розвитку ОСББ»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425D7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Бюджет громади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сприяння діяльності об`єднанням співвласників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багатоквартирних будинків 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м. Нововолинськ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та смт.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Б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лагодатне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на 2020-2024 роки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Р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-кількість звернень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-кількість і якість наданої підтримки, тощо</w:t>
            </w:r>
          </w:p>
        </w:tc>
      </w:tr>
      <w:tr w:rsidR="00730EE3" w:rsidRPr="00910703" w:rsidTr="00213C33">
        <w:trPr>
          <w:trHeight w:val="285"/>
        </w:trPr>
        <w:tc>
          <w:tcPr>
            <w:tcW w:w="202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EEA 6.5.2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Будівництво чи реконструкція приватних об’єктів за найвищими стандартами енергоефективності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***</w:t>
            </w:r>
          </w:p>
        </w:tc>
        <w:tc>
          <w:tcPr>
            <w:tcW w:w="924" w:type="pct"/>
            <w:gridSpan w:val="2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Відділ проектної діяльності та інвестицій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Приватні і</w:t>
            </w: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нвестиції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3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730EE3" w:rsidRPr="00910703" w:rsidRDefault="00730EE3" w:rsidP="008536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91070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</w:tr>
      <w:tr w:rsidR="00910703" w:rsidRPr="00910703" w:rsidTr="00213C33">
        <w:trPr>
          <w:gridAfter w:val="11"/>
          <w:wAfter w:w="3165" w:type="pct"/>
          <w:trHeight w:val="285"/>
        </w:trPr>
        <w:tc>
          <w:tcPr>
            <w:tcW w:w="837" w:type="pct"/>
            <w:gridSpan w:val="2"/>
            <w:shd w:val="clear" w:color="auto" w:fill="auto"/>
            <w:noWrap/>
            <w:vAlign w:val="center"/>
            <w:hideMark/>
          </w:tcPr>
          <w:p w:rsidR="00730EE3" w:rsidRPr="00730EE3" w:rsidRDefault="00730EE3" w:rsidP="009107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0EE3" w:rsidRPr="00730EE3" w:rsidRDefault="00730EE3" w:rsidP="009107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EE3">
              <w:rPr>
                <w:rFonts w:ascii="Times New Roman" w:hAnsi="Times New Roman" w:cs="Times New Roman"/>
              </w:rPr>
              <w:t>Умовні позначення:</w:t>
            </w:r>
          </w:p>
          <w:p w:rsidR="00730EE3" w:rsidRPr="00730EE3" w:rsidRDefault="00730EE3" w:rsidP="009107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І: Ідея</w:t>
            </w:r>
          </w:p>
        </w:tc>
        <w:tc>
          <w:tcPr>
            <w:tcW w:w="997" w:type="pct"/>
            <w:gridSpan w:val="3"/>
            <w:shd w:val="clear" w:color="auto" w:fill="auto"/>
            <w:noWrap/>
            <w:hideMark/>
          </w:tcPr>
          <w:p w:rsidR="00910703" w:rsidRPr="00730EE3" w:rsidRDefault="00910703" w:rsidP="0091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910703" w:rsidRPr="00910703" w:rsidTr="00213C33">
        <w:trPr>
          <w:gridAfter w:val="11"/>
          <w:wAfter w:w="3165" w:type="pct"/>
          <w:trHeight w:val="285"/>
        </w:trPr>
        <w:tc>
          <w:tcPr>
            <w:tcW w:w="837" w:type="pct"/>
            <w:gridSpan w:val="2"/>
            <w:shd w:val="clear" w:color="auto" w:fill="auto"/>
            <w:noWrap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Р: Рішення (прийняте)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uk-UA"/>
              </w:rPr>
              <w:t>0:</w:t>
            </w: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впровадження не розпочато</w:t>
            </w:r>
          </w:p>
        </w:tc>
      </w:tr>
      <w:tr w:rsidR="00910703" w:rsidRPr="00910703" w:rsidTr="00213C33">
        <w:trPr>
          <w:gridAfter w:val="11"/>
          <w:wAfter w:w="3165" w:type="pct"/>
          <w:trHeight w:val="285"/>
        </w:trPr>
        <w:tc>
          <w:tcPr>
            <w:tcW w:w="837" w:type="pct"/>
            <w:gridSpan w:val="2"/>
            <w:shd w:val="clear" w:color="auto" w:fill="auto"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В: Виконання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1: </w:t>
            </w: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Впровадження продовжується</w:t>
            </w:r>
          </w:p>
        </w:tc>
      </w:tr>
      <w:tr w:rsidR="00910703" w:rsidRPr="00910703" w:rsidTr="00213C33">
        <w:trPr>
          <w:gridAfter w:val="11"/>
          <w:wAfter w:w="3165" w:type="pct"/>
          <w:trHeight w:val="285"/>
        </w:trPr>
        <w:tc>
          <w:tcPr>
            <w:tcW w:w="837" w:type="pct"/>
            <w:gridSpan w:val="2"/>
            <w:shd w:val="clear" w:color="auto" w:fill="auto"/>
            <w:noWrap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П: Продовження</w:t>
            </w:r>
          </w:p>
        </w:tc>
        <w:tc>
          <w:tcPr>
            <w:tcW w:w="997" w:type="pct"/>
            <w:gridSpan w:val="3"/>
            <w:shd w:val="clear" w:color="auto" w:fill="auto"/>
            <w:vAlign w:val="center"/>
            <w:hideMark/>
          </w:tcPr>
          <w:p w:rsidR="00910703" w:rsidRPr="00730EE3" w:rsidRDefault="00910703" w:rsidP="0091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730EE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 xml:space="preserve">2: </w:t>
            </w:r>
            <w:r w:rsidRPr="00730EE3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Захід впроваджено</w:t>
            </w:r>
          </w:p>
        </w:tc>
      </w:tr>
    </w:tbl>
    <w:p w:rsidR="00910703" w:rsidRDefault="00910703"/>
    <w:sectPr w:rsidR="00910703" w:rsidSect="00982643">
      <w:pgSz w:w="16838" w:h="11906" w:orient="landscape"/>
      <w:pgMar w:top="709" w:right="850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EE3" w:rsidRDefault="00730EE3" w:rsidP="00730EE3">
      <w:pPr>
        <w:spacing w:after="0" w:line="240" w:lineRule="auto"/>
      </w:pPr>
      <w:r>
        <w:separator/>
      </w:r>
    </w:p>
  </w:endnote>
  <w:endnote w:type="continuationSeparator" w:id="0">
    <w:p w:rsidR="00730EE3" w:rsidRDefault="00730EE3" w:rsidP="00730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EE3" w:rsidRDefault="00730EE3" w:rsidP="00730EE3">
      <w:pPr>
        <w:spacing w:after="0" w:line="240" w:lineRule="auto"/>
      </w:pPr>
      <w:r>
        <w:separator/>
      </w:r>
    </w:p>
  </w:footnote>
  <w:footnote w:type="continuationSeparator" w:id="0">
    <w:p w:rsidR="00730EE3" w:rsidRDefault="00730EE3" w:rsidP="00730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62384"/>
    <w:multiLevelType w:val="hybridMultilevel"/>
    <w:tmpl w:val="335A7990"/>
    <w:lvl w:ilvl="0" w:tplc="8E7247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ailMerge>
    <w:mainDocumentType w:val="mailingLabels"/>
    <w:dataType w:val="textFile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9CC"/>
    <w:rsid w:val="00033ABD"/>
    <w:rsid w:val="000F3046"/>
    <w:rsid w:val="00213C33"/>
    <w:rsid w:val="0027036A"/>
    <w:rsid w:val="00314041"/>
    <w:rsid w:val="00435477"/>
    <w:rsid w:val="004359E4"/>
    <w:rsid w:val="00435EBF"/>
    <w:rsid w:val="00537D7A"/>
    <w:rsid w:val="005F1566"/>
    <w:rsid w:val="00696979"/>
    <w:rsid w:val="00730EE3"/>
    <w:rsid w:val="007425D7"/>
    <w:rsid w:val="00903305"/>
    <w:rsid w:val="00910703"/>
    <w:rsid w:val="00982643"/>
    <w:rsid w:val="00A61395"/>
    <w:rsid w:val="00AD1640"/>
    <w:rsid w:val="00BA1EAD"/>
    <w:rsid w:val="00CA69CC"/>
    <w:rsid w:val="00CC5647"/>
    <w:rsid w:val="00EA02E0"/>
    <w:rsid w:val="00F01740"/>
    <w:rsid w:val="00F1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088024-AFBF-409B-A160-A0B6B0A0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74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30E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0EE3"/>
  </w:style>
  <w:style w:type="paragraph" w:styleId="a6">
    <w:name w:val="footer"/>
    <w:basedOn w:val="a"/>
    <w:link w:val="a7"/>
    <w:uiPriority w:val="99"/>
    <w:unhideWhenUsed/>
    <w:rsid w:val="00730EE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0EE3"/>
  </w:style>
  <w:style w:type="paragraph" w:styleId="a8">
    <w:name w:val="Balloon Text"/>
    <w:basedOn w:val="a"/>
    <w:link w:val="a9"/>
    <w:uiPriority w:val="99"/>
    <w:semiHidden/>
    <w:unhideWhenUsed/>
    <w:rsid w:val="00213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3C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7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21</Pages>
  <Words>24301</Words>
  <Characters>13852</Characters>
  <Application>Microsoft Office Word</Application>
  <DocSecurity>0</DocSecurity>
  <Lines>115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13</cp:revision>
  <cp:lastPrinted>2021-12-08T14:26:00Z</cp:lastPrinted>
  <dcterms:created xsi:type="dcterms:W3CDTF">2021-12-07T08:48:00Z</dcterms:created>
  <dcterms:modified xsi:type="dcterms:W3CDTF">2021-12-09T09:21:00Z</dcterms:modified>
</cp:coreProperties>
</file>