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81248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A8124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травня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4F7083" w:rsidRDefault="004F7083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7083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4F7083">
        <w:rPr>
          <w:rFonts w:ascii="Times New Roman" w:eastAsia="Times New Roman" w:hAnsi="Times New Roman" w:cs="Times New Roman"/>
          <w:sz w:val="28"/>
          <w:szCs w:val="28"/>
        </w:rPr>
        <w:t xml:space="preserve"> Г.М. – секретар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950EC0" w:rsidRDefault="00950EC0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8474E8" w:rsidRPr="008474E8" w:rsidRDefault="004F7083" w:rsidP="008474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4754DB" w:rsidRPr="004754DB" w:rsidTr="006542E9">
        <w:tc>
          <w:tcPr>
            <w:tcW w:w="2127" w:type="dxa"/>
          </w:tcPr>
          <w:p w:rsidR="004754DB" w:rsidRPr="004754DB" w:rsidRDefault="000C7D74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</w:tcPr>
          <w:p w:rsidR="004754DB" w:rsidRPr="00E92490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A81248" w:rsidTr="006542E9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A81248" w:rsidRDefault="00A81248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 В.В.</w:t>
            </w:r>
          </w:p>
        </w:tc>
        <w:tc>
          <w:tcPr>
            <w:tcW w:w="7399" w:type="dxa"/>
            <w:shd w:val="clear" w:color="auto" w:fill="FFFFFF" w:themeFill="background1"/>
          </w:tcPr>
          <w:p w:rsidR="00A81248" w:rsidRPr="00E92490" w:rsidRDefault="00E92490" w:rsidP="00E92490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1248" w:rsidRP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організаційно-виконавчого відділу ради;</w:t>
            </w:r>
          </w:p>
        </w:tc>
      </w:tr>
      <w:tr w:rsidR="00EC1EFB" w:rsidTr="006542E9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C1EFB" w:rsidRDefault="00EC1EFB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92490" w:rsidP="00E92490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EC1E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6542E9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3554CD" w:rsidRDefault="003554CD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E92490" w:rsidP="006542E9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248" w:rsidTr="006542E9">
        <w:tblPrEx>
          <w:shd w:val="clear" w:color="auto" w:fill="FFFFFF" w:themeFill="background1"/>
        </w:tblPrEx>
        <w:trPr>
          <w:trHeight w:val="463"/>
        </w:trPr>
        <w:tc>
          <w:tcPr>
            <w:tcW w:w="2127" w:type="dxa"/>
            <w:shd w:val="clear" w:color="auto" w:fill="FFFFFF" w:themeFill="background1"/>
          </w:tcPr>
          <w:p w:rsidR="00A81248" w:rsidRDefault="00A81248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A81248" w:rsidRPr="00A81248" w:rsidRDefault="006542E9" w:rsidP="006542E9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81248" w:rsidRP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земельних відносин;</w:t>
            </w:r>
          </w:p>
        </w:tc>
      </w:tr>
      <w:tr w:rsidR="00A81248" w:rsidTr="006542E9">
        <w:tblPrEx>
          <w:shd w:val="clear" w:color="auto" w:fill="FFFFFF" w:themeFill="background1"/>
        </w:tblPrEx>
        <w:trPr>
          <w:trHeight w:val="413"/>
        </w:trPr>
        <w:tc>
          <w:tcPr>
            <w:tcW w:w="2127" w:type="dxa"/>
            <w:shd w:val="clear" w:color="auto" w:fill="FFFFFF" w:themeFill="background1"/>
          </w:tcPr>
          <w:p w:rsidR="00A81248" w:rsidRDefault="00A81248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7399" w:type="dxa"/>
            <w:shd w:val="clear" w:color="auto" w:fill="FFFFFF" w:themeFill="background1"/>
          </w:tcPr>
          <w:p w:rsidR="00A81248" w:rsidRPr="00A81248" w:rsidRDefault="006542E9" w:rsidP="006542E9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81248" w:rsidRP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технічний директор </w:t>
            </w:r>
            <w:proofErr w:type="spellStart"/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АРБ-Вектор</w:t>
            </w:r>
            <w:proofErr w:type="spellEnd"/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A81248" w:rsidTr="006542E9">
        <w:tblPrEx>
          <w:shd w:val="clear" w:color="auto" w:fill="FFFFFF" w:themeFill="background1"/>
        </w:tblPrEx>
        <w:trPr>
          <w:trHeight w:val="413"/>
        </w:trPr>
        <w:tc>
          <w:tcPr>
            <w:tcW w:w="2127" w:type="dxa"/>
            <w:shd w:val="clear" w:color="auto" w:fill="FFFFFF" w:themeFill="background1"/>
          </w:tcPr>
          <w:p w:rsidR="00A81248" w:rsidRDefault="006542E9" w:rsidP="00AB3F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</w:t>
            </w:r>
            <w:r w:rsidR="00AB3F8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399" w:type="dxa"/>
            <w:shd w:val="clear" w:color="auto" w:fill="FFFFFF" w:themeFill="background1"/>
          </w:tcPr>
          <w:p w:rsidR="00A81248" w:rsidRDefault="006542E9" w:rsidP="006542E9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81248" w:rsidRP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ПП «ДНК»</w:t>
            </w:r>
          </w:p>
          <w:p w:rsidR="00121A6C" w:rsidRPr="00A81248" w:rsidRDefault="00121A6C" w:rsidP="006542E9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3290" w:rsidRDefault="00EE6D9E" w:rsidP="00EE6D9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="00C73290" w:rsidRPr="00766027">
        <w:rPr>
          <w:rFonts w:ascii="Times New Roman" w:hAnsi="Times New Roman"/>
          <w:sz w:val="28"/>
          <w:szCs w:val="28"/>
        </w:rPr>
        <w:t>Головуюч</w:t>
      </w:r>
      <w:r w:rsidR="00C73290">
        <w:rPr>
          <w:rFonts w:ascii="Times New Roman" w:hAnsi="Times New Roman"/>
          <w:sz w:val="28"/>
          <w:szCs w:val="28"/>
        </w:rPr>
        <w:t>ий</w:t>
      </w:r>
      <w:r w:rsidR="00C73290"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 w:rsidR="00C73290"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 w:rsidR="00C73290">
        <w:rPr>
          <w:rFonts w:ascii="Times New Roman" w:hAnsi="Times New Roman"/>
          <w:sz w:val="28"/>
          <w:szCs w:val="28"/>
        </w:rPr>
        <w:t>Бадзюнь</w:t>
      </w:r>
      <w:proofErr w:type="spellEnd"/>
      <w:r w:rsidR="00C73290" w:rsidRPr="00766027">
        <w:rPr>
          <w:rFonts w:ascii="Times New Roman" w:hAnsi="Times New Roman"/>
          <w:sz w:val="28"/>
          <w:szCs w:val="28"/>
        </w:rPr>
        <w:t xml:space="preserve"> повідоми</w:t>
      </w:r>
      <w:r w:rsidR="00C73290">
        <w:rPr>
          <w:rFonts w:ascii="Times New Roman" w:hAnsi="Times New Roman"/>
          <w:sz w:val="28"/>
          <w:szCs w:val="28"/>
        </w:rPr>
        <w:t>в</w:t>
      </w:r>
      <w:r w:rsidR="00C73290"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 w:rsidR="00C73290"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="00C73290" w:rsidRPr="00766027">
        <w:rPr>
          <w:rFonts w:ascii="Times New Roman" w:hAnsi="Times New Roman"/>
          <w:sz w:val="28"/>
          <w:szCs w:val="28"/>
        </w:rPr>
        <w:t>.</w:t>
      </w:r>
    </w:p>
    <w:p w:rsidR="00121A6C" w:rsidRPr="00121A6C" w:rsidRDefault="00121A6C" w:rsidP="00EE6D9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828"/>
        <w:gridCol w:w="23"/>
        <w:gridCol w:w="9214"/>
      </w:tblGrid>
      <w:tr w:rsidR="00520AF5" w:rsidRPr="00520AF5" w:rsidTr="00950EC0">
        <w:tc>
          <w:tcPr>
            <w:tcW w:w="851" w:type="dxa"/>
            <w:gridSpan w:val="2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:rsidR="00520AF5" w:rsidRPr="00520AF5" w:rsidRDefault="00520AF5" w:rsidP="00520AF5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2023 року</w:t>
            </w:r>
            <w:proofErr w:type="gramStart"/>
            <w:r w:rsidRPr="00520AF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 xml:space="preserve">  .</w:t>
            </w:r>
            <w:proofErr w:type="gramEnd"/>
          </w:p>
        </w:tc>
      </w:tr>
      <w:tr w:rsidR="00520AF5" w:rsidRPr="00520AF5" w:rsidTr="00950EC0">
        <w:tc>
          <w:tcPr>
            <w:tcW w:w="828" w:type="dxa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37" w:type="dxa"/>
            <w:gridSpan w:val="2"/>
            <w:shd w:val="clear" w:color="auto" w:fill="auto"/>
          </w:tcPr>
          <w:p w:rsidR="00520AF5" w:rsidRPr="00477CEE" w:rsidRDefault="00520AF5" w:rsidP="00520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19 грудня 2022 року № 18/25 «Про бюджет Нововолинської  міської територіальної громади  на  </w:t>
            </w: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 рік».</w:t>
            </w:r>
          </w:p>
        </w:tc>
      </w:tr>
      <w:tr w:rsidR="00520AF5" w:rsidRPr="00520AF5" w:rsidTr="00950EC0">
        <w:tc>
          <w:tcPr>
            <w:tcW w:w="851" w:type="dxa"/>
            <w:gridSpan w:val="2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214" w:type="dxa"/>
            <w:shd w:val="clear" w:color="auto" w:fill="auto"/>
          </w:tcPr>
          <w:p w:rsidR="00520AF5" w:rsidRPr="00520AF5" w:rsidRDefault="00520AF5" w:rsidP="00520AF5">
            <w:pPr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концепції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індустріального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парку «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20AF5" w:rsidRPr="00520AF5" w:rsidTr="00950EC0">
        <w:tc>
          <w:tcPr>
            <w:tcW w:w="851" w:type="dxa"/>
            <w:gridSpan w:val="2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14" w:type="dxa"/>
            <w:shd w:val="clear" w:color="auto" w:fill="auto"/>
          </w:tcPr>
          <w:p w:rsidR="00520AF5" w:rsidRPr="00520AF5" w:rsidRDefault="00520AF5" w:rsidP="00520AF5">
            <w:pPr>
              <w:tabs>
                <w:tab w:val="left" w:pos="-2268"/>
                <w:tab w:val="left" w:pos="-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</w:pPr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земельного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сервітуту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дозволу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розроблення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техн</w:t>
            </w:r>
            <w:proofErr w:type="gram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ічної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землеустрою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меж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земельної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ділянки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на яку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поширюється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право </w:t>
            </w:r>
            <w:proofErr w:type="spellStart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сервітуту</w:t>
            </w:r>
            <w:proofErr w:type="spellEnd"/>
            <w:r w:rsidRPr="0052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520AF5" w:rsidRPr="00520AF5" w:rsidTr="00950EC0">
        <w:tc>
          <w:tcPr>
            <w:tcW w:w="851" w:type="dxa"/>
            <w:gridSpan w:val="2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14" w:type="dxa"/>
            <w:shd w:val="clear" w:color="auto" w:fill="auto"/>
          </w:tcPr>
          <w:p w:rsidR="00520AF5" w:rsidRPr="00520AF5" w:rsidRDefault="00520AF5" w:rsidP="00520A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0A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вибори секретаря </w:t>
            </w: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520A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Нововолинської міської ради</w:t>
            </w:r>
            <w:r w:rsidRPr="00520A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восьмого скликання</w:t>
            </w:r>
            <w:r w:rsidRPr="00520A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867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950EC0" w:rsidTr="002E51D2">
        <w:tc>
          <w:tcPr>
            <w:tcW w:w="2616" w:type="dxa"/>
          </w:tcPr>
          <w:p w:rsidR="00AB1A20" w:rsidRPr="00950EC0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950EC0" w:rsidRDefault="00EE6D9E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50EC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І квартал 2023 року  </w:t>
            </w:r>
          </w:p>
        </w:tc>
      </w:tr>
      <w:tr w:rsidR="00AB1A20" w:rsidRPr="00950EC0" w:rsidTr="002E51D2">
        <w:tc>
          <w:tcPr>
            <w:tcW w:w="2616" w:type="dxa"/>
          </w:tcPr>
          <w:p w:rsidR="00AB1A20" w:rsidRPr="00950EC0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950EC0" w:rsidRDefault="00EE6D9E" w:rsidP="00AB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Г.В. – начальник фінансового управління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676D7E" w:rsidRPr="00950EC0" w:rsidTr="00ED5DE4">
        <w:tc>
          <w:tcPr>
            <w:tcW w:w="2616" w:type="dxa"/>
          </w:tcPr>
          <w:p w:rsidR="00676D7E" w:rsidRPr="00950EC0" w:rsidRDefault="00676D7E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676D7E" w:rsidRPr="00950EC0" w:rsidRDefault="00240A22" w:rsidP="00676D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950EC0" w:rsidRDefault="00AB1A20" w:rsidP="00EE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 рекомендувати на розгляд проект рішення «</w:t>
            </w:r>
            <w:r w:rsidR="00EE6D9E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 виконання  бюджету Нововолинської міської територіальної громади за І квартал 2023 року 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             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Pr="00950EC0" w:rsidRDefault="00AB1A20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 w:rsidRPr="0095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950EC0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Pr="00950EC0" w:rsidRDefault="00C73290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950EC0" w:rsidTr="00ED5DE4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EE6D9E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</w:tr>
      <w:tr w:rsidR="00B440CD" w:rsidRPr="00950EC0" w:rsidTr="00ED5DE4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EE6D9E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950EC0" w:rsidRDefault="00240A22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C219D8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19D8" w:rsidRPr="00950EC0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="00C219D8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B440CD" w:rsidRPr="00950EC0" w:rsidTr="00ED5DE4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EE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19 грудня 2022 року № 18/25 «Про бюджет Нововолинської  міської територіальної громади  на  2023 </w:t>
            </w:r>
            <w:proofErr w:type="spellStart"/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ED5DE4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950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ED5DE4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EE6D9E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концепції індустріального парку «Нововолинськ»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B432C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950EC0" w:rsidRDefault="00C219D8" w:rsidP="00C21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EE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концепції індустріального парку «</w:t>
            </w:r>
            <w:proofErr w:type="spellStart"/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Нововолинськ»</w:t>
            </w:r>
            <w:proofErr w:type="spellEnd"/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ED5DE4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ED5DE4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EE6D9E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Про встановлення земельного сервітуту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B432C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С.І. – начальник відділу земельних відносин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9C722D" w:rsidRPr="00950EC0" w:rsidRDefault="00B43405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О.С., </w:t>
            </w: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Ю.М., </w:t>
            </w: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220D2A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0D2A" w:rsidRPr="00950EC0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="00220D2A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AE072E" w:rsidRPr="00950EC0" w:rsidTr="00ED5DE4">
        <w:tc>
          <w:tcPr>
            <w:tcW w:w="2616" w:type="dxa"/>
          </w:tcPr>
          <w:p w:rsidR="00AE072E" w:rsidRPr="00950EC0" w:rsidRDefault="00AE072E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273" w:type="dxa"/>
          </w:tcPr>
          <w:p w:rsidR="0024454B" w:rsidRPr="00950EC0" w:rsidRDefault="00AE072E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Шахраюк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В.В. та </w:t>
            </w: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  <w:r w:rsidR="0024454B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ознайомили присутніх з</w:t>
            </w:r>
            <w:r w:rsidR="00220D2A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намірами і </w:t>
            </w:r>
            <w:r w:rsidR="0024454B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організацією роботи своїх підприємств;</w:t>
            </w:r>
          </w:p>
          <w:p w:rsidR="00AE072E" w:rsidRPr="00950EC0" w:rsidRDefault="00220D2A" w:rsidP="00477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занепокоєні тим, що </w:t>
            </w:r>
            <w:r w:rsidR="00ED5DE4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дуже мало інформації для того, щоб надати дозвіл на розроблення технічної документації із землеустрою щодо встановлення меж частини земельної ділянки, на яку поширюється право сервітуту, немає ніякого бізнес-плану, ніяких документів по екології і наполягають на </w:t>
            </w:r>
            <w:proofErr w:type="spellStart"/>
            <w:r w:rsidR="00ED5DE4" w:rsidRPr="00950EC0">
              <w:rPr>
                <w:rFonts w:ascii="Times New Roman" w:hAnsi="Times New Roman" w:cs="Times New Roman"/>
                <w:sz w:val="28"/>
                <w:szCs w:val="28"/>
              </w:rPr>
              <w:t>довивченні</w:t>
            </w:r>
            <w:proofErr w:type="spellEnd"/>
            <w:r w:rsidR="00ED5DE4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питання</w:t>
            </w:r>
            <w:r w:rsidR="00AE072E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477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не виносити на розгляд сесії та рекомендувати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довивчити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питання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земельного сервітуту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ED5DE4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EE6D9E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Про вибори секретаря  Нововолинської міської ради восьмого скликання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EE6D9E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Дорош В.В. – начальник організаційно-виконавчого відділу ради;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9C722D" w:rsidP="00EE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EE6D9E" w:rsidRPr="00950EC0">
              <w:rPr>
                <w:rFonts w:ascii="Times New Roman" w:hAnsi="Times New Roman" w:cs="Times New Roman"/>
                <w:sz w:val="28"/>
                <w:szCs w:val="28"/>
              </w:rPr>
              <w:t>Про вибори секретаря  Нововолинської міської ради восьмого скликання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B43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ED5DE4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ED5DE4" w:rsidTr="00ED5DE4">
        <w:tc>
          <w:tcPr>
            <w:tcW w:w="2616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86542" w:rsidRDefault="0008654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Галина ПАНАФІДІНА</w:t>
      </w:r>
    </w:p>
    <w:sectPr w:rsidR="007C7CC2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B9" w:rsidRDefault="000D27B9" w:rsidP="00407A1B">
      <w:pPr>
        <w:spacing w:after="0" w:line="240" w:lineRule="auto"/>
      </w:pPr>
      <w:r>
        <w:separator/>
      </w:r>
    </w:p>
  </w:endnote>
  <w:endnote w:type="continuationSeparator" w:id="0">
    <w:p w:rsidR="000D27B9" w:rsidRDefault="000D27B9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87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B9" w:rsidRDefault="000D27B9" w:rsidP="00407A1B">
      <w:pPr>
        <w:spacing w:after="0" w:line="240" w:lineRule="auto"/>
      </w:pPr>
      <w:r>
        <w:separator/>
      </w:r>
    </w:p>
  </w:footnote>
  <w:footnote w:type="continuationSeparator" w:id="0">
    <w:p w:rsidR="000D27B9" w:rsidRDefault="000D27B9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54AC6"/>
    <w:rsid w:val="00055CFF"/>
    <w:rsid w:val="00067DCD"/>
    <w:rsid w:val="00077C60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2FB9"/>
    <w:rsid w:val="00117B54"/>
    <w:rsid w:val="00117CCD"/>
    <w:rsid w:val="00121A6C"/>
    <w:rsid w:val="001264A6"/>
    <w:rsid w:val="0015319D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2643"/>
    <w:rsid w:val="0027320A"/>
    <w:rsid w:val="00291DB5"/>
    <w:rsid w:val="002A2556"/>
    <w:rsid w:val="002B057A"/>
    <w:rsid w:val="002B6AC0"/>
    <w:rsid w:val="002C28A7"/>
    <w:rsid w:val="002C6A41"/>
    <w:rsid w:val="002D2683"/>
    <w:rsid w:val="002D4254"/>
    <w:rsid w:val="002E51D2"/>
    <w:rsid w:val="002E69F8"/>
    <w:rsid w:val="00301DB3"/>
    <w:rsid w:val="00347CFA"/>
    <w:rsid w:val="00351EEF"/>
    <w:rsid w:val="003554CD"/>
    <w:rsid w:val="00355D30"/>
    <w:rsid w:val="003568E1"/>
    <w:rsid w:val="00366AB2"/>
    <w:rsid w:val="0038222C"/>
    <w:rsid w:val="003825A0"/>
    <w:rsid w:val="003847A4"/>
    <w:rsid w:val="003867F6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7CEE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24DD"/>
    <w:rsid w:val="005D3E8B"/>
    <w:rsid w:val="005F1BB6"/>
    <w:rsid w:val="005F6585"/>
    <w:rsid w:val="00625803"/>
    <w:rsid w:val="006258EA"/>
    <w:rsid w:val="00627A2F"/>
    <w:rsid w:val="00646E18"/>
    <w:rsid w:val="00653386"/>
    <w:rsid w:val="006542E9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4BA5"/>
    <w:rsid w:val="007402D7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826DB"/>
    <w:rsid w:val="008847E9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F87"/>
    <w:rsid w:val="00AD5A0C"/>
    <w:rsid w:val="00AD7BDA"/>
    <w:rsid w:val="00AE015A"/>
    <w:rsid w:val="00AE072E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E8"/>
    <w:rsid w:val="00C73290"/>
    <w:rsid w:val="00C80474"/>
    <w:rsid w:val="00C81F6A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6EF"/>
    <w:rsid w:val="00ED2E64"/>
    <w:rsid w:val="00ED5DE4"/>
    <w:rsid w:val="00EE6D9E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294C-422B-41A0-981B-849D5803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3217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57</cp:revision>
  <cp:lastPrinted>2023-07-05T06:20:00Z</cp:lastPrinted>
  <dcterms:created xsi:type="dcterms:W3CDTF">2022-10-25T13:36:00Z</dcterms:created>
  <dcterms:modified xsi:type="dcterms:W3CDTF">2023-07-05T06:20:00Z</dcterms:modified>
</cp:coreProperties>
</file>