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:rsidR="00F64F04" w:rsidRPr="007455A3" w:rsidRDefault="00D72719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152400</wp:posOffset>
                </wp:positionV>
                <wp:extent cx="1298575" cy="381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719" w:rsidRPr="00CB09AB" w:rsidRDefault="00D72719" w:rsidP="00D7271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CB09AB">
                              <w:rPr>
                                <w:b/>
                                <w:sz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54.75pt;margin-top:12pt;width:102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" stroked="f">
                <v:textbox>
                  <w:txbxContent>
                    <w:p w:rsidR="00D72719" w:rsidRPr="00CB09AB" w:rsidRDefault="00D72719" w:rsidP="00D72719">
                      <w:pPr>
                        <w:rPr>
                          <w:b/>
                          <w:sz w:val="32"/>
                        </w:rPr>
                      </w:pPr>
                      <w:r w:rsidRPr="00CB09AB">
                        <w:rPr>
                          <w:b/>
                          <w:sz w:val="32"/>
                        </w:rPr>
                        <w:t>ПРОЄКТ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64F04"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F04" w:rsidRPr="00A501B6" w:rsidRDefault="00F64F04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DBOAIAACg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" stroked="f">
                <v:textbox>
                  <w:txbxContent>
                    <w:p w:rsidR="00F64F04" w:rsidRPr="00A501B6" w:rsidRDefault="00F64F04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>Р І Ш Е Н Н Я</w:t>
      </w:r>
      <w:r w:rsidRPr="007455A3">
        <w:rPr>
          <w:b/>
          <w:sz w:val="32"/>
          <w:szCs w:val="32"/>
        </w:rPr>
        <w:t xml:space="preserve">                            </w:t>
      </w:r>
    </w:p>
    <w:p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:rsidR="00F64F04" w:rsidRPr="007455A3" w:rsidRDefault="009C6DA5" w:rsidP="00F64F04">
      <w:pPr>
        <w:ind w:right="567"/>
        <w:rPr>
          <w:sz w:val="28"/>
          <w:szCs w:val="28"/>
        </w:rPr>
      </w:pPr>
      <w:r w:rsidRPr="007455A3">
        <w:rPr>
          <w:sz w:val="28"/>
          <w:szCs w:val="28"/>
        </w:rPr>
        <w:t xml:space="preserve">   </w:t>
      </w:r>
      <w:r w:rsidR="00F03B2F">
        <w:rPr>
          <w:sz w:val="28"/>
          <w:szCs w:val="28"/>
        </w:rPr>
        <w:t xml:space="preserve">     </w:t>
      </w:r>
      <w:r w:rsidRPr="007455A3">
        <w:rPr>
          <w:sz w:val="28"/>
          <w:szCs w:val="28"/>
        </w:rPr>
        <w:t xml:space="preserve"> </w:t>
      </w:r>
      <w:r w:rsidR="00F03B2F">
        <w:rPr>
          <w:sz w:val="28"/>
          <w:szCs w:val="28"/>
        </w:rPr>
        <w:t xml:space="preserve">жовтня </w:t>
      </w:r>
      <w:r w:rsidR="00F64F04" w:rsidRPr="007455A3">
        <w:rPr>
          <w:sz w:val="28"/>
          <w:szCs w:val="28"/>
        </w:rPr>
        <w:t>202</w:t>
      </w:r>
      <w:r w:rsidRPr="007455A3">
        <w:rPr>
          <w:sz w:val="28"/>
          <w:szCs w:val="28"/>
        </w:rPr>
        <w:t>3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Pr="007455A3">
        <w:rPr>
          <w:sz w:val="28"/>
          <w:szCs w:val="28"/>
        </w:rPr>
        <w:t>ськ                           №</w:t>
      </w:r>
    </w:p>
    <w:p w:rsidR="007A11CE" w:rsidRPr="007455A3" w:rsidRDefault="007A11CE" w:rsidP="00292630">
      <w:pPr>
        <w:rPr>
          <w:sz w:val="28"/>
          <w:szCs w:val="28"/>
        </w:rPr>
      </w:pPr>
    </w:p>
    <w:p w:rsidR="00292630" w:rsidRPr="007455A3" w:rsidRDefault="00292630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Про безоплатну передачу</w:t>
      </w:r>
    </w:p>
    <w:p w:rsidR="00025FFC" w:rsidRPr="007455A3" w:rsidRDefault="009C6DA5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вуличних лавок та урн</w:t>
      </w:r>
    </w:p>
    <w:p w:rsidR="00BF483C" w:rsidRPr="007455A3" w:rsidRDefault="00BF483C" w:rsidP="00292630">
      <w:pPr>
        <w:rPr>
          <w:sz w:val="28"/>
          <w:szCs w:val="28"/>
        </w:rPr>
      </w:pPr>
    </w:p>
    <w:p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 від 2</w:t>
      </w:r>
      <w:r w:rsidR="009C6DA5" w:rsidRPr="007455A3">
        <w:rPr>
          <w:sz w:val="28"/>
          <w:szCs w:val="28"/>
        </w:rPr>
        <w:t>2</w:t>
      </w:r>
      <w:r w:rsidR="00F64F04" w:rsidRPr="007455A3">
        <w:rPr>
          <w:sz w:val="28"/>
          <w:szCs w:val="28"/>
        </w:rPr>
        <w:t>.0</w:t>
      </w:r>
      <w:r w:rsidR="009C6DA5" w:rsidRPr="007455A3">
        <w:rPr>
          <w:sz w:val="28"/>
          <w:szCs w:val="28"/>
        </w:rPr>
        <w:t>8</w:t>
      </w:r>
      <w:r w:rsidR="00F64F04" w:rsidRPr="007455A3">
        <w:rPr>
          <w:sz w:val="28"/>
          <w:szCs w:val="28"/>
        </w:rPr>
        <w:t>.202</w:t>
      </w:r>
      <w:r w:rsidR="009C6DA5" w:rsidRPr="007455A3">
        <w:rPr>
          <w:sz w:val="28"/>
          <w:szCs w:val="28"/>
        </w:rPr>
        <w:t>3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06-931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:rsidR="00292630" w:rsidRPr="007455A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для збільшення статутного капіталу на баланс та обслуговування ОСББ </w:t>
      </w:r>
      <w:r w:rsidR="009C6DA5" w:rsidRPr="007455A3">
        <w:rPr>
          <w:sz w:val="28"/>
          <w:szCs w:val="28"/>
        </w:rPr>
        <w:t>вуличних лавок та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9C6DA5" w:rsidRPr="007455A3">
        <w:rPr>
          <w:sz w:val="28"/>
          <w:szCs w:val="28"/>
        </w:rPr>
        <w:t>449 680</w:t>
      </w:r>
      <w:r w:rsidR="00025FFC" w:rsidRPr="007455A3">
        <w:rPr>
          <w:sz w:val="28"/>
          <w:szCs w:val="28"/>
        </w:rPr>
        <w:t>,00 грн, згідно з додатком 1.</w:t>
      </w:r>
    </w:p>
    <w:p w:rsidR="003766BB" w:rsidRPr="007455A3" w:rsidRDefault="00292630" w:rsidP="000002DC">
      <w:pPr>
        <w:pStyle w:val="32"/>
        <w:jc w:val="both"/>
        <w:rPr>
          <w:sz w:val="28"/>
          <w:szCs w:val="28"/>
        </w:rPr>
      </w:pPr>
      <w:r w:rsidRPr="007455A3">
        <w:rPr>
          <w:sz w:val="28"/>
          <w:szCs w:val="28"/>
        </w:rPr>
        <w:t xml:space="preserve">        </w:t>
      </w:r>
      <w:r w:rsidR="00025FFC" w:rsidRPr="007455A3">
        <w:rPr>
          <w:sz w:val="28"/>
          <w:szCs w:val="28"/>
        </w:rPr>
        <w:t>2</w:t>
      </w:r>
      <w:r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житлово-комунального господарства, благоустрою та екології та заступника міського голови з питань діяльності виконавчих органів Миколу Пасевича.</w:t>
      </w: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:rsidR="00025FFC" w:rsidRPr="007455A3" w:rsidRDefault="00025FFC" w:rsidP="00292630">
      <w:pPr>
        <w:pStyle w:val="3"/>
      </w:pPr>
    </w:p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025FFC" w:rsidRPr="007455A3" w:rsidRDefault="00025FFC" w:rsidP="00292630">
      <w:pPr>
        <w:pStyle w:val="3"/>
      </w:pPr>
    </w:p>
    <w:p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 </w:t>
      </w:r>
      <w:r w:rsidR="0029557F" w:rsidRPr="007455A3">
        <w:t xml:space="preserve"> </w:t>
      </w:r>
      <w:r w:rsidR="00025FFC" w:rsidRPr="007455A3">
        <w:t xml:space="preserve">                                              </w:t>
      </w:r>
      <w:r w:rsidR="00292630" w:rsidRPr="007455A3">
        <w:rPr>
          <w:b w:val="0"/>
          <w:sz w:val="28"/>
          <w:szCs w:val="28"/>
        </w:rPr>
        <w:t>Додаток 1</w:t>
      </w:r>
    </w:p>
    <w:p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:rsidR="00292630" w:rsidRPr="007455A3" w:rsidRDefault="00025FFC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 xml:space="preserve">       </w:t>
      </w:r>
      <w:r w:rsidR="00F03B2F">
        <w:rPr>
          <w:sz w:val="28"/>
          <w:szCs w:val="28"/>
        </w:rPr>
        <w:t>.10</w:t>
      </w:r>
      <w:bookmarkStart w:id="0" w:name="_GoBack"/>
      <w:bookmarkEnd w:id="0"/>
      <w:r w:rsidR="00292630" w:rsidRPr="007455A3">
        <w:rPr>
          <w:sz w:val="28"/>
          <w:szCs w:val="28"/>
        </w:rPr>
        <w:t>.20</w:t>
      </w:r>
      <w:r w:rsidRPr="007455A3">
        <w:rPr>
          <w:sz w:val="28"/>
          <w:szCs w:val="28"/>
        </w:rPr>
        <w:t>2</w:t>
      </w:r>
      <w:r w:rsidR="009C6DA5" w:rsidRPr="007455A3"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 xml:space="preserve">   №</w:t>
      </w:r>
    </w:p>
    <w:p w:rsidR="00292630" w:rsidRPr="007455A3" w:rsidRDefault="00292630" w:rsidP="00292630">
      <w:pPr>
        <w:pStyle w:val="4"/>
        <w:rPr>
          <w:sz w:val="28"/>
          <w:szCs w:val="28"/>
        </w:rPr>
      </w:pPr>
    </w:p>
    <w:p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для збільшення статутного капіталу на баланс та обслуговування ОСББ</w:t>
      </w:r>
    </w:p>
    <w:p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лавок та урн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«Військове»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«Березовий-3НВ»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«Смайлик 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«Діамант»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«Захід-НВ»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«Наш дім»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«Ідеал»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12»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1»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3»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2»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22»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«Миру, 13-НВ»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«Домовик»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«Фіалка-НВ»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«Марс-НВ»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«Калина-НВ»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32120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«Озеро 29»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«Росинка-НВ»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«Лад-НВ»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«Єдність-НВ»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«Крок-НВ»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«Перемога-25-НВ»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32120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«Софія, 8-НВ»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32120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«Кобзар, 9-НВ»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</w:tbl>
    <w:p w:rsidR="00292630" w:rsidRPr="007455A3" w:rsidRDefault="00292630" w:rsidP="00292630">
      <w:pPr>
        <w:pStyle w:val="3"/>
      </w:pPr>
      <w:r w:rsidRPr="007455A3">
        <w:t xml:space="preserve">                      </w:t>
      </w:r>
    </w:p>
    <w:p w:rsidR="00292630" w:rsidRPr="007455A3" w:rsidRDefault="00292630" w:rsidP="00292630">
      <w:pPr>
        <w:pStyle w:val="3"/>
      </w:pPr>
    </w:p>
    <w:p w:rsidR="003A3AA4" w:rsidRPr="007455A3" w:rsidRDefault="003A3AA4" w:rsidP="003A3AA4"/>
    <w:p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:rsidR="00292630" w:rsidRPr="007455A3" w:rsidRDefault="00292630" w:rsidP="00292630">
      <w:pPr>
        <w:pStyle w:val="3"/>
      </w:pPr>
    </w:p>
    <w:p w:rsidR="000E0FA0" w:rsidRPr="007455A3" w:rsidRDefault="000E0FA0" w:rsidP="000E0FA0"/>
    <w:p w:rsidR="000E0FA0" w:rsidRPr="007455A3" w:rsidRDefault="000E0FA0" w:rsidP="000E0FA0"/>
    <w:p w:rsidR="00BF483C" w:rsidRPr="007455A3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sectPr w:rsidR="00BF483C" w:rsidRPr="007455A3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7B" w:rsidRDefault="00D26B7B" w:rsidP="0066367A">
      <w:r>
        <w:separator/>
      </w:r>
    </w:p>
  </w:endnote>
  <w:endnote w:type="continuationSeparator" w:id="0">
    <w:p w:rsidR="00D26B7B" w:rsidRDefault="00D26B7B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7B" w:rsidRDefault="00D26B7B" w:rsidP="0066367A">
      <w:r>
        <w:separator/>
      </w:r>
    </w:p>
  </w:footnote>
  <w:footnote w:type="continuationSeparator" w:id="0">
    <w:p w:rsidR="00D26B7B" w:rsidRDefault="00D26B7B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7AAA"/>
    <w:rsid w:val="000F17CE"/>
    <w:rsid w:val="000F22E7"/>
    <w:rsid w:val="000F384E"/>
    <w:rsid w:val="001040E6"/>
    <w:rsid w:val="00107623"/>
    <w:rsid w:val="0011150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892"/>
    <w:rsid w:val="003A2C0C"/>
    <w:rsid w:val="003A3AA4"/>
    <w:rsid w:val="003A5432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6493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1A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DE0-A2BF-425F-9F05-590E4683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2022-12-06T09:57:00Z</dcterms:created>
  <dcterms:modified xsi:type="dcterms:W3CDTF">2023-09-28T07:58:00Z</dcterms:modified>
</cp:coreProperties>
</file>