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0B12DB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  <w:r w:rsidR="009E1CB3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7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10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DB2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244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F915E7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B2449" w:rsidRP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9E1CB3" w:rsidRDefault="009E1CB3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112A8C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AA417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9E1CB3">
            <w:pPr>
              <w:pStyle w:val="a6"/>
              <w:numPr>
                <w:ilvl w:val="0"/>
                <w:numId w:val="7"/>
              </w:numPr>
              <w:ind w:left="0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виробничого управляння комунального      </w:t>
            </w:r>
          </w:p>
          <w:p w:rsidR="009E1CB3" w:rsidRDefault="009E1CB3" w:rsidP="009E1CB3">
            <w:pPr>
              <w:pStyle w:val="a6"/>
              <w:numPr>
                <w:ilvl w:val="0"/>
                <w:numId w:val="7"/>
              </w:numPr>
              <w:ind w:left="0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господарства;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Демчук В.І.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9E1C6C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голова громадської організації «Незламні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»; 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відділу;</w:t>
            </w:r>
          </w:p>
        </w:tc>
      </w:tr>
      <w:tr w:rsidR="00112A8C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112A8C" w:rsidRPr="00A44CB3" w:rsidRDefault="00DB244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112A8C" w:rsidRPr="00112A8C" w:rsidRDefault="000B12DB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1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культури;</w:t>
            </w:r>
          </w:p>
        </w:tc>
      </w:tr>
      <w:tr w:rsidR="009E1C6C" w:rsidRPr="00A44CB3" w:rsidTr="00AA417C">
        <w:tblPrEx>
          <w:shd w:val="clear" w:color="auto" w:fill="FFFFFF" w:themeFill="background1"/>
        </w:tblPrEx>
        <w:trPr>
          <w:trHeight w:val="380"/>
        </w:trPr>
        <w:tc>
          <w:tcPr>
            <w:tcW w:w="2268" w:type="dxa"/>
            <w:shd w:val="clear" w:color="auto" w:fill="FFFFFF" w:themeFill="background1"/>
          </w:tcPr>
          <w:p w:rsidR="009E1C6C" w:rsidRPr="00A44CB3" w:rsidRDefault="009E1C6C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6C" w:rsidRPr="009E1C6C" w:rsidRDefault="009E1C6C" w:rsidP="009E1C6C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F915E7" w:rsidRPr="00A44CB3" w:rsidTr="00AA417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DB2449" w:rsidRPr="00A44CB3" w:rsidTr="00AA417C">
        <w:tblPrEx>
          <w:shd w:val="clear" w:color="auto" w:fill="FFFFFF" w:themeFill="background1"/>
        </w:tblPrEx>
        <w:trPr>
          <w:trHeight w:val="39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9E1C6C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Ю.А. 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9E1C6C" w:rsidRDefault="009E1C6C" w:rsidP="009E1C6C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юридичного відділу;</w:t>
            </w: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1C6C" w:rsidRPr="00A44CB3" w:rsidTr="00AA417C">
        <w:tblPrEx>
          <w:shd w:val="clear" w:color="auto" w:fill="FFFFFF" w:themeFill="background1"/>
        </w:tblPrEx>
        <w:trPr>
          <w:trHeight w:val="399"/>
        </w:trPr>
        <w:tc>
          <w:tcPr>
            <w:tcW w:w="2268" w:type="dxa"/>
            <w:shd w:val="clear" w:color="auto" w:fill="FFFFFF" w:themeFill="background1"/>
          </w:tcPr>
          <w:p w:rsidR="009E1C6C" w:rsidRDefault="009E1C6C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6C" w:rsidRDefault="009E1C6C" w:rsidP="009E1C6C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керуюча справами виконкому;</w:t>
            </w:r>
          </w:p>
        </w:tc>
      </w:tr>
      <w:tr w:rsidR="00DB2449" w:rsidRPr="00A44CB3" w:rsidTr="00AA417C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9E1C6C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О.А.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9E1C6C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будівництва та комунального господарства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054" w:rsidRDefault="00D6705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6907E0" w:rsidTr="00AA417C">
        <w:tc>
          <w:tcPr>
            <w:tcW w:w="562" w:type="dxa"/>
          </w:tcPr>
          <w:p w:rsidR="006907E0" w:rsidRPr="00F459D3" w:rsidRDefault="006907E0" w:rsidP="00F5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6907E0" w:rsidRPr="00F459D3" w:rsidRDefault="006907E0" w:rsidP="00637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EB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</w:p>
        </w:tc>
      </w:tr>
      <w:tr w:rsidR="006907E0" w:rsidTr="00AA417C">
        <w:tc>
          <w:tcPr>
            <w:tcW w:w="562" w:type="dxa"/>
          </w:tcPr>
          <w:p w:rsidR="006907E0" w:rsidRDefault="006907E0" w:rsidP="00F50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6907E0" w:rsidRPr="00F459D3" w:rsidRDefault="006907E0" w:rsidP="00F5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звернення ГО «Незламні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щодо демонтажу монументу, що знаходиться на бульвар</w:t>
            </w:r>
            <w:r w:rsidR="00637AE0">
              <w:rPr>
                <w:rFonts w:ascii="Times New Roman" w:hAnsi="Times New Roman" w:cs="Times New Roman"/>
                <w:sz w:val="28"/>
                <w:szCs w:val="28"/>
              </w:rPr>
              <w:t>і Шевченка в місті Нововолинськ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 xml:space="preserve">СЛУХАЛИ: </w:t>
      </w:r>
      <w:r w:rsidR="00112A8C" w:rsidRPr="00A375F2">
        <w:rPr>
          <w:rFonts w:ascii="Times New Roman" w:hAnsi="Times New Roman" w:cs="Times New Roman"/>
          <w:sz w:val="27"/>
          <w:szCs w:val="27"/>
        </w:rPr>
        <w:t>головуюч</w:t>
      </w:r>
      <w:r w:rsidR="00CA6250" w:rsidRPr="00A375F2">
        <w:rPr>
          <w:rFonts w:ascii="Times New Roman" w:hAnsi="Times New Roman" w:cs="Times New Roman"/>
          <w:sz w:val="27"/>
          <w:szCs w:val="27"/>
        </w:rPr>
        <w:t>а Вихор І.В.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повідоми</w:t>
      </w:r>
      <w:r w:rsidR="00CA6250" w:rsidRPr="00A375F2">
        <w:rPr>
          <w:rFonts w:ascii="Times New Roman" w:hAnsi="Times New Roman" w:cs="Times New Roman"/>
          <w:sz w:val="27"/>
          <w:szCs w:val="27"/>
        </w:rPr>
        <w:t>ла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про необхідність затвердження порядку денного засідання постійної комісії, ознайоми</w:t>
      </w:r>
      <w:r w:rsidR="00CA6250" w:rsidRPr="00A375F2">
        <w:rPr>
          <w:rFonts w:ascii="Times New Roman" w:hAnsi="Times New Roman" w:cs="Times New Roman"/>
          <w:sz w:val="27"/>
          <w:szCs w:val="27"/>
        </w:rPr>
        <w:t>ла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присутніх з переліком питань. Змін і доповнень до порядку денного не було. </w:t>
      </w: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>Головуюч</w:t>
      </w:r>
      <w:r w:rsidR="00CA6250" w:rsidRPr="00A375F2">
        <w:rPr>
          <w:rFonts w:ascii="Times New Roman" w:hAnsi="Times New Roman" w:cs="Times New Roman"/>
          <w:sz w:val="27"/>
          <w:szCs w:val="27"/>
        </w:rPr>
        <w:t>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запропонувала проголосувати за </w:t>
      </w:r>
      <w:proofErr w:type="spellStart"/>
      <w:r w:rsidRPr="00A375F2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A375F2">
        <w:rPr>
          <w:rFonts w:ascii="Times New Roman" w:hAnsi="Times New Roman" w:cs="Times New Roman"/>
          <w:sz w:val="27"/>
          <w:szCs w:val="27"/>
        </w:rPr>
        <w:t xml:space="preserve"> Порядку денного засідання постійної комісії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357"/>
        <w:gridCol w:w="2329"/>
        <w:gridCol w:w="1559"/>
      </w:tblGrid>
      <w:tr w:rsidR="00A07E7E" w:rsidRPr="00A375F2" w:rsidTr="0047071A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40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57" w:type="dxa"/>
          </w:tcPr>
          <w:p w:rsidR="00A07E7E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59" w:type="dxa"/>
          </w:tcPr>
          <w:p w:rsidR="00A07E7E" w:rsidRPr="00A375F2" w:rsidRDefault="00112A8C" w:rsidP="00CA6250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07E7E" w:rsidRPr="00A375F2" w:rsidTr="0047071A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57" w:type="dxa"/>
          </w:tcPr>
          <w:p w:rsidR="00A07E7E" w:rsidRPr="00A375F2" w:rsidRDefault="00112A8C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232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59" w:type="dxa"/>
          </w:tcPr>
          <w:p w:rsidR="00A07E7E" w:rsidRPr="00A375F2" w:rsidRDefault="00112A8C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112A8C" w:rsidRPr="00A375F2" w:rsidTr="0047071A">
        <w:tc>
          <w:tcPr>
            <w:tcW w:w="2235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9" w:type="dxa"/>
          </w:tcPr>
          <w:p w:rsidR="00112A8C" w:rsidRPr="00A375F2" w:rsidRDefault="00112A8C" w:rsidP="00E079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59" w:type="dxa"/>
          </w:tcPr>
          <w:p w:rsidR="00112A8C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A07E7E" w:rsidRPr="00A375F2" w:rsidTr="0047071A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4" w:type="dxa"/>
            <w:gridSpan w:val="4"/>
          </w:tcPr>
          <w:p w:rsidR="00A07E7E" w:rsidRPr="00A375F2" w:rsidRDefault="00112A8C" w:rsidP="00E079E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</w:t>
            </w:r>
            <w:r w:rsidR="00A07E7E"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; проти – 0; утрималися – 0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відсутні - </w:t>
            </w:r>
            <w:r w:rsidR="00E079E6"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</w:tbl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>ВИРІШИЛИ: Затвердили порядок денний засідання постійної комісії.</w:t>
      </w:r>
    </w:p>
    <w:p w:rsidR="00F915E7" w:rsidRPr="00A375F2" w:rsidRDefault="00F915E7" w:rsidP="00F915E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031F31" w:rsidRPr="00A375F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75F2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223"/>
        <w:gridCol w:w="1485"/>
        <w:gridCol w:w="2305"/>
        <w:gridCol w:w="1548"/>
      </w:tblGrid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Hlk161425136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637AE0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DF64A8" w:rsidRPr="00A375F2" w:rsidRDefault="00DF64A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FA5CF8" w:rsidP="00C225D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DF64A8" w:rsidRPr="00A375F2" w:rsidRDefault="0021574A" w:rsidP="00C225D1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Г.В. - начальник фінансового управління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DF64A8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FA5CF8" w:rsidRPr="00A375F2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DF64A8" w:rsidRPr="00A375F2" w:rsidRDefault="00DF64A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DF64A8" w:rsidRPr="00A375F2" w:rsidRDefault="00DF64A8" w:rsidP="00C225D1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31318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DF64A8" w:rsidRPr="00A375F2" w:rsidRDefault="00DF64A8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230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DF64A8" w:rsidRPr="00A375F2" w:rsidRDefault="00DF64A8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DF64A8" w:rsidRPr="00A375F2" w:rsidRDefault="00DF64A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C225D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DF64A8" w:rsidRPr="00A375F2" w:rsidRDefault="00DF64A8" w:rsidP="00C225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637AE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E31F2A" w:rsidP="00C225D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31F2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розгляд звернення ГО «Незламні </w:t>
            </w:r>
            <w:proofErr w:type="spellStart"/>
            <w:r w:rsidRPr="00E31F2A">
              <w:rPr>
                <w:rFonts w:ascii="Times New Roman" w:hAnsi="Times New Roman" w:cs="Times New Roman"/>
                <w:b/>
                <w:sz w:val="27"/>
                <w:szCs w:val="27"/>
              </w:rPr>
              <w:t>нововолинці</w:t>
            </w:r>
            <w:proofErr w:type="spellEnd"/>
            <w:r w:rsidRPr="00E31F2A">
              <w:rPr>
                <w:rFonts w:ascii="Times New Roman" w:hAnsi="Times New Roman" w:cs="Times New Roman"/>
                <w:b/>
                <w:sz w:val="27"/>
                <w:szCs w:val="27"/>
              </w:rPr>
              <w:t>» щодо демонтажу монументу, що знаходиться на бульварі Шевченка в місті Нововолинськ</w:t>
            </w:r>
          </w:p>
        </w:tc>
      </w:tr>
      <w:tr w:rsidR="000502A8" w:rsidRPr="00A375F2" w:rsidTr="00AA417C">
        <w:tc>
          <w:tcPr>
            <w:tcW w:w="9841" w:type="dxa"/>
            <w:gridSpan w:val="5"/>
          </w:tcPr>
          <w:p w:rsidR="000502A8" w:rsidRDefault="000502A8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ОБГОВОРЕННЯ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proofErr w:type="spellStart"/>
            <w:r w:rsidRPr="00A12D1B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A12D1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 присутнім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що надійшло  звернення </w:t>
            </w:r>
          </w:p>
          <w:p w:rsidR="000502A8" w:rsidRDefault="000502A8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BF099B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голови ГО «Незламні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нововолинці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 Демчука Володимира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Івановича щодо демонтажу монументу, що знаходиться на бульварі Шевченка та символізує прикордонників радянського часу. Зачитала дане звернення;</w:t>
            </w:r>
          </w:p>
          <w:p w:rsidR="00A12D1B" w:rsidRDefault="000502A8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12D1B">
              <w:rPr>
                <w:rFonts w:ascii="Times New Roman" w:hAnsi="Times New Roman" w:cs="Times New Roman"/>
                <w:b/>
                <w:sz w:val="27"/>
                <w:szCs w:val="27"/>
              </w:rPr>
              <w:t>Душук</w:t>
            </w:r>
            <w:proofErr w:type="spellEnd"/>
            <w:r w:rsidRPr="00A12D1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М.Ю.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початково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даний об’єкт знаходився в переліку пам’яток архітектури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 початку повномасштабного вторгнення 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 xml:space="preserve">був підготовлений і надісланий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>лист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Міністерство культури щодо виключення 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 xml:space="preserve">цього пам’ятника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 реєстру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 xml:space="preserve"> нерухомих 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пам’яток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 xml:space="preserve"> України.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ідповіді не отримали, але отримали загальну </w:t>
            </w:r>
            <w:r w:rsidR="008276CA">
              <w:rPr>
                <w:rFonts w:ascii="Times New Roman" w:hAnsi="Times New Roman" w:cs="Times New Roman"/>
                <w:sz w:val="27"/>
                <w:szCs w:val="27"/>
              </w:rPr>
              <w:t>відповідь для всіх управлінь і відділів культури  в розрізі усіх областей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 xml:space="preserve"> України. </w:t>
            </w:r>
            <w:r w:rsidR="008276CA">
              <w:rPr>
                <w:rFonts w:ascii="Times New Roman" w:hAnsi="Times New Roman" w:cs="Times New Roman"/>
                <w:sz w:val="27"/>
                <w:szCs w:val="27"/>
              </w:rPr>
              <w:t xml:space="preserve">Звернення Володимира Івановича не поодиноке, тому передували ще декілька звернень </w:t>
            </w:r>
            <w:r w:rsidR="00243258">
              <w:rPr>
                <w:rFonts w:ascii="Times New Roman" w:hAnsi="Times New Roman" w:cs="Times New Roman"/>
                <w:sz w:val="27"/>
                <w:szCs w:val="27"/>
              </w:rPr>
              <w:t xml:space="preserve">від мешканців Нововолинської громади </w:t>
            </w:r>
            <w:r w:rsidR="008276CA">
              <w:rPr>
                <w:rFonts w:ascii="Times New Roman" w:hAnsi="Times New Roman" w:cs="Times New Roman"/>
                <w:sz w:val="27"/>
                <w:szCs w:val="27"/>
              </w:rPr>
              <w:t xml:space="preserve">щодо демонтажу пам’ятника радянському прикордоннику, який зараз знаходиться на бульварі Шевченка, був занесений до реєстру рішенням виконавчого комітету Волинської обласної ради народних депутатів від 25 серпня 1986 року № 267 за адресою: проспект Незалежності. Поінформувала присутніх про те, що даний монумент не занесений до реєстру нерухомих пам’яток,  а згідно наказу Міністерства культури від 26.08.2024 року № 605 визнаний таким, що не підлягає занесенню до Державного реєстру нерухомих пам’яток України, об’єктів культурної спадщини. </w:t>
            </w:r>
            <w:r w:rsidR="00A12D1B">
              <w:rPr>
                <w:rFonts w:ascii="Times New Roman" w:hAnsi="Times New Roman" w:cs="Times New Roman"/>
                <w:sz w:val="27"/>
                <w:szCs w:val="27"/>
              </w:rPr>
              <w:t xml:space="preserve">Подібні пам’ятники є, наприклад, в селах </w:t>
            </w:r>
            <w:proofErr w:type="spellStart"/>
            <w:r w:rsidR="00A12D1B">
              <w:rPr>
                <w:rFonts w:ascii="Times New Roman" w:hAnsi="Times New Roman" w:cs="Times New Roman"/>
                <w:sz w:val="27"/>
                <w:szCs w:val="27"/>
              </w:rPr>
              <w:t>Грибовиця</w:t>
            </w:r>
            <w:proofErr w:type="spellEnd"/>
            <w:r w:rsidR="00A12D1B">
              <w:rPr>
                <w:rFonts w:ascii="Times New Roman" w:hAnsi="Times New Roman" w:cs="Times New Roman"/>
                <w:sz w:val="27"/>
                <w:szCs w:val="27"/>
              </w:rPr>
              <w:t xml:space="preserve"> і Гряди, де написані прізвища їхніх односільчан, що є важливим для людей і це є вже пам’ятка історії.  </w:t>
            </w:r>
            <w:r w:rsidR="008276CA">
              <w:rPr>
                <w:rFonts w:ascii="Times New Roman" w:hAnsi="Times New Roman" w:cs="Times New Roman"/>
                <w:sz w:val="27"/>
                <w:szCs w:val="27"/>
              </w:rPr>
              <w:t>Висловила припущення</w:t>
            </w:r>
            <w:r w:rsidR="00A12D1B">
              <w:rPr>
                <w:rFonts w:ascii="Times New Roman" w:hAnsi="Times New Roman" w:cs="Times New Roman"/>
                <w:sz w:val="27"/>
                <w:szCs w:val="27"/>
              </w:rPr>
              <w:t xml:space="preserve">, що в громаді є приватний колекціонер, який виявив бажання забрати той пам’ятник до приватної колекції; </w:t>
            </w:r>
            <w:r w:rsidR="008276CA" w:rsidRPr="00A12D1B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 w:rsidR="008276C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12D1B">
              <w:rPr>
                <w:rFonts w:ascii="Times New Roman" w:hAnsi="Times New Roman" w:cs="Times New Roman"/>
                <w:sz w:val="27"/>
                <w:szCs w:val="27"/>
              </w:rPr>
              <w:t xml:space="preserve">цікавило питання наявності в Нововолинську  </w:t>
            </w:r>
            <w:r w:rsidR="00A12D1B" w:rsidRPr="00A12D1B">
              <w:rPr>
                <w:rFonts w:ascii="Times New Roman" w:hAnsi="Times New Roman" w:cs="Times New Roman"/>
                <w:sz w:val="27"/>
                <w:szCs w:val="27"/>
              </w:rPr>
              <w:t>ще таких пам’ятників</w:t>
            </w:r>
            <w:r w:rsidR="00A12D1B">
              <w:rPr>
                <w:rFonts w:ascii="Times New Roman" w:hAnsi="Times New Roman" w:cs="Times New Roman"/>
                <w:sz w:val="27"/>
                <w:szCs w:val="27"/>
              </w:rPr>
              <w:t>, які символізують перемогу над нацизмом в другій світовій війні;</w:t>
            </w:r>
          </w:p>
          <w:p w:rsidR="00A12D1B" w:rsidRDefault="00A12D1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01539">
              <w:rPr>
                <w:rFonts w:ascii="Times New Roman" w:hAnsi="Times New Roman" w:cs="Times New Roman"/>
                <w:b/>
                <w:sz w:val="27"/>
                <w:szCs w:val="27"/>
              </w:rPr>
              <w:t>Душук</w:t>
            </w:r>
            <w:proofErr w:type="spellEnd"/>
            <w:r w:rsidRPr="0060153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М.Ю.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відповіла, що в Нововолинську немає, є в селах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Грибовиця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і Гряди пам’ятник</w:t>
            </w:r>
            <w:r w:rsidR="00BF099B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захисникам;</w:t>
            </w:r>
          </w:p>
          <w:p w:rsidR="00537532" w:rsidRDefault="00A12D1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37532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53753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на сьогоднішній день пам’ятник не має охоронного номеру, пройшов дослідження </w:t>
            </w:r>
            <w:r w:rsidR="00BF099B" w:rsidRPr="00BF099B">
              <w:rPr>
                <w:rFonts w:ascii="Times New Roman" w:hAnsi="Times New Roman" w:cs="Times New Roman"/>
                <w:sz w:val="27"/>
                <w:szCs w:val="27"/>
              </w:rPr>
              <w:t>І</w:t>
            </w:r>
            <w:r w:rsidRPr="00BF099B">
              <w:rPr>
                <w:rFonts w:ascii="Times New Roman" w:hAnsi="Times New Roman" w:cs="Times New Roman"/>
                <w:sz w:val="27"/>
                <w:szCs w:val="27"/>
              </w:rPr>
              <w:t xml:space="preserve">нституту </w:t>
            </w:r>
            <w:r w:rsidR="00BF099B" w:rsidRPr="00BF099B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BF099B">
              <w:rPr>
                <w:rFonts w:ascii="Times New Roman" w:hAnsi="Times New Roman" w:cs="Times New Roman"/>
                <w:sz w:val="27"/>
                <w:szCs w:val="27"/>
              </w:rPr>
              <w:t>країнської національної пам’яті</w:t>
            </w:r>
            <w:r w:rsidR="00BF099B">
              <w:rPr>
                <w:rFonts w:ascii="Times New Roman" w:hAnsi="Times New Roman" w:cs="Times New Roman"/>
                <w:sz w:val="27"/>
                <w:szCs w:val="27"/>
              </w:rPr>
              <w:t xml:space="preserve">  і його не визначили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 xml:space="preserve"> як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пам’ятник історії на відміну від </w:t>
            </w:r>
            <w:r w:rsidR="00AA34D7">
              <w:rPr>
                <w:rFonts w:ascii="Times New Roman" w:hAnsi="Times New Roman" w:cs="Times New Roman"/>
                <w:sz w:val="27"/>
                <w:szCs w:val="27"/>
              </w:rPr>
              <w:t>пам’ятник</w:t>
            </w:r>
            <w:r w:rsidR="00BF099B">
              <w:rPr>
                <w:rFonts w:ascii="Times New Roman" w:hAnsi="Times New Roman" w:cs="Times New Roman"/>
                <w:sz w:val="27"/>
                <w:szCs w:val="27"/>
              </w:rPr>
              <w:t>ів</w:t>
            </w:r>
            <w:r w:rsidR="00AA34D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землякам с.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Грибовиці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і с. Гряди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, 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ам визнано, що це є пам’ятки історії</w:t>
            </w:r>
            <w:r w:rsidR="00AA34D7">
              <w:rPr>
                <w:rFonts w:ascii="Times New Roman" w:hAnsi="Times New Roman" w:cs="Times New Roman"/>
                <w:sz w:val="27"/>
                <w:szCs w:val="27"/>
              </w:rPr>
              <w:t xml:space="preserve">. Пам’ятник прикордонникам ні є ні культурною, ні архітектурною пам’яткою, ні пам’яткою історії. Він на сьогоднішній день просто є в обліковій картці </w:t>
            </w:r>
            <w:proofErr w:type="spellStart"/>
            <w:r w:rsidR="00AA34D7">
              <w:rPr>
                <w:rFonts w:ascii="Times New Roman" w:hAnsi="Times New Roman" w:cs="Times New Roman"/>
                <w:sz w:val="27"/>
                <w:szCs w:val="27"/>
              </w:rPr>
              <w:t>балансоутримувача</w:t>
            </w:r>
            <w:proofErr w:type="spellEnd"/>
            <w:r w:rsidR="00AA34D7">
              <w:rPr>
                <w:rFonts w:ascii="Times New Roman" w:hAnsi="Times New Roman" w:cs="Times New Roman"/>
                <w:sz w:val="27"/>
                <w:szCs w:val="27"/>
              </w:rPr>
              <w:t xml:space="preserve"> -  ВУКГ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AA34D7">
              <w:rPr>
                <w:rFonts w:ascii="Times New Roman" w:hAnsi="Times New Roman" w:cs="Times New Roman"/>
                <w:sz w:val="27"/>
                <w:szCs w:val="27"/>
              </w:rPr>
              <w:t xml:space="preserve"> як об’єкт інфраструктури</w:t>
            </w:r>
            <w:r w:rsidR="00537532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37532" w:rsidRDefault="00537532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висловила думку, що це є увічнення перемоги над нацизмом 39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-45го років;</w:t>
            </w:r>
          </w:p>
          <w:p w:rsidR="00601539" w:rsidRDefault="00601539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539">
              <w:rPr>
                <w:rFonts w:ascii="Times New Roman" w:hAnsi="Times New Roman" w:cs="Times New Roman"/>
                <w:b/>
                <w:sz w:val="27"/>
                <w:szCs w:val="27"/>
              </w:rPr>
              <w:t>Демчук В.І.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висловився, що немає там нічого цінного для нашого суспільства; </w:t>
            </w:r>
          </w:p>
          <w:p w:rsidR="00537532" w:rsidRDefault="00537532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>Томчук</w:t>
            </w:r>
            <w:proofErr w:type="spellEnd"/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зауважив, що цей пам’ятник є, як пам’ятник прикордонникам, які перші прийняли бій; </w:t>
            </w:r>
          </w:p>
          <w:p w:rsidR="00B0661E" w:rsidRDefault="00B0661E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 xml:space="preserve">внесла пропозицію щодо зміни назви пам’ятника,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зауважила, що 8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 xml:space="preserve"> травня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біля пам’ятника були урочистості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приносилися квіти і поцікавилася куди будуть приносити квіти після демонтажу пам’ятника</w:t>
            </w:r>
          </w:p>
          <w:p w:rsidR="00B0661E" w:rsidRDefault="00B0661E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відповіла, що подібні пам’ятники є в 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рибовищі і в 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рядах, які мають історичну цінність і визнані пам’ятками історії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 xml:space="preserve"> другої світової війни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0661E" w:rsidRDefault="00B0661E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661E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вона тут виступає за пам'ять боротьби проти нацизму і зауважила, що якщо демонтаж і має відбутись, то має бути обговорення і все має пройти відкрито і прозоро, має бути врахована думка учасників тої війни;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 xml:space="preserve"> зауважила 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що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 xml:space="preserve"> Закону України</w:t>
            </w:r>
            <w:r w:rsidR="0032460D">
              <w:rPr>
                <w:rFonts w:ascii="Times New Roman" w:hAnsi="Times New Roman" w:cs="Times New Roman"/>
                <w:sz w:val="27"/>
                <w:szCs w:val="27"/>
              </w:rPr>
              <w:t xml:space="preserve"> від 2015 року № 25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32460D">
              <w:rPr>
                <w:rFonts w:ascii="Times New Roman" w:hAnsi="Times New Roman" w:cs="Times New Roman"/>
                <w:sz w:val="27"/>
                <w:szCs w:val="27"/>
              </w:rPr>
              <w:t xml:space="preserve">  і він досі чинний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>, де прописано</w:t>
            </w:r>
            <w:r w:rsidR="0032460D">
              <w:rPr>
                <w:rFonts w:ascii="Times New Roman" w:hAnsi="Times New Roman" w:cs="Times New Roman"/>
                <w:sz w:val="27"/>
                <w:szCs w:val="27"/>
              </w:rPr>
              <w:t xml:space="preserve"> щодо увічнення перемоги над нацизмом у другій світовій війні і заборонено знищувати такі пам’ятники;</w:t>
            </w:r>
            <w:r w:rsidR="00601539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26328B" w:rsidRDefault="0032460D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2460D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Степюк</w:t>
            </w:r>
            <w:proofErr w:type="spellEnd"/>
            <w:r w:rsidRPr="0032460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 xml:space="preserve">ознайомила присутніх із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статт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>ею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4 цього Закону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>, на який спирається Вихор І.В.</w:t>
            </w:r>
            <w:r w:rsidR="00EC6632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пам’ятк</w:t>
            </w:r>
            <w:r w:rsidR="00EC6632">
              <w:rPr>
                <w:rFonts w:ascii="Times New Roman" w:hAnsi="Times New Roman" w:cs="Times New Roman"/>
                <w:sz w:val="27"/>
                <w:szCs w:val="27"/>
              </w:rPr>
              <w:t>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другої світової війни 39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-45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років визнаються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6328B">
              <w:rPr>
                <w:rFonts w:ascii="Times New Roman" w:hAnsi="Times New Roman" w:cs="Times New Roman"/>
                <w:sz w:val="27"/>
                <w:szCs w:val="27"/>
              </w:rPr>
              <w:t>військові кладовища,  військові ділянки на цивільних кладовищах, братські та одинокі могили, пам’ятники, пам’ятні знаки , скульптури, архітектурні та інші споруди, об’єкти, що увічнили пам'ять про події другої світової війни 39го-45го років і їх учасників та жертв»</w:t>
            </w:r>
          </w:p>
          <w:p w:rsidR="0032460D" w:rsidRDefault="0026328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6328B">
              <w:rPr>
                <w:rFonts w:ascii="Times New Roman" w:hAnsi="Times New Roman" w:cs="Times New Roman"/>
                <w:b/>
                <w:sz w:val="27"/>
                <w:szCs w:val="27"/>
              </w:rPr>
              <w:t>Томчук</w:t>
            </w:r>
            <w:proofErr w:type="spellEnd"/>
            <w:r w:rsidRPr="002632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6328B">
              <w:rPr>
                <w:rFonts w:ascii="Times New Roman" w:hAnsi="Times New Roman" w:cs="Times New Roman"/>
                <w:sz w:val="27"/>
                <w:szCs w:val="27"/>
              </w:rPr>
              <w:t xml:space="preserve">поцікавився чи підпадає пам’ятник під Закон України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 </w:t>
            </w:r>
            <w:r w:rsidRPr="0026328B">
              <w:rPr>
                <w:rFonts w:ascii="Times New Roman" w:hAnsi="Times New Roman" w:cs="Times New Roman"/>
                <w:sz w:val="27"/>
                <w:szCs w:val="27"/>
              </w:rPr>
              <w:t>декомунізацію;</w:t>
            </w:r>
          </w:p>
          <w:p w:rsidR="0026328B" w:rsidRDefault="0026328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6328B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26328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 w:rsidRPr="0026328B">
              <w:rPr>
                <w:rFonts w:ascii="Times New Roman" w:hAnsi="Times New Roman" w:cs="Times New Roman"/>
                <w:sz w:val="27"/>
                <w:szCs w:val="27"/>
              </w:rPr>
              <w:t xml:space="preserve"> відповіла стверджено;</w:t>
            </w:r>
          </w:p>
          <w:p w:rsidR="00601539" w:rsidRDefault="00601539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01539">
              <w:rPr>
                <w:rFonts w:ascii="Times New Roman" w:hAnsi="Times New Roman" w:cs="Times New Roman"/>
                <w:b/>
                <w:sz w:val="27"/>
                <w:szCs w:val="27"/>
              </w:rPr>
              <w:t>Демчук В.І.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висловив обурення щодо</w:t>
            </w:r>
            <w:r w:rsidR="00EC6632">
              <w:rPr>
                <w:rFonts w:ascii="Times New Roman" w:hAnsi="Times New Roman" w:cs="Times New Roman"/>
                <w:sz w:val="27"/>
                <w:szCs w:val="27"/>
              </w:rPr>
              <w:t xml:space="preserve"> не підтримки знесення пам’ятників сталінських часів; наголосив на вихованні патріотизму в дітей, підростаючого покоління і населення України. Запропонував в майбутньому на тому місці, де, можливо, відбудеться демонтаж пам’ятника радянським прикордонникам, після перемоги на тому місці встановити пам’ятник тим, хто загинув за Україну, починаючи з 39го року і до періоду закінчення україно-російської війни;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8421BE" w:rsidRDefault="00EC6632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E76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4E76">
              <w:rPr>
                <w:rFonts w:ascii="Times New Roman" w:hAnsi="Times New Roman" w:cs="Times New Roman"/>
                <w:sz w:val="27"/>
                <w:szCs w:val="27"/>
              </w:rPr>
              <w:t>висловилася, що такі дії не можуть бути без обговорення</w:t>
            </w:r>
            <w:r w:rsidR="008421BE">
              <w:rPr>
                <w:rFonts w:ascii="Times New Roman" w:hAnsi="Times New Roman" w:cs="Times New Roman"/>
                <w:sz w:val="27"/>
                <w:szCs w:val="27"/>
              </w:rPr>
              <w:t>, має бути врахована думка  учасників світової війни або їх дітей</w:t>
            </w:r>
            <w:r w:rsidR="00D54E7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8421B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54E76" w:rsidRDefault="00D54E76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4E76">
              <w:rPr>
                <w:rFonts w:ascii="Times New Roman" w:hAnsi="Times New Roman" w:cs="Times New Roman"/>
                <w:b/>
                <w:sz w:val="27"/>
                <w:szCs w:val="27"/>
              </w:rPr>
              <w:t>Жук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потрібно розробити відповідний алгоритм дій.  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D54E76">
              <w:rPr>
                <w:rFonts w:ascii="Times New Roman" w:hAnsi="Times New Roman" w:cs="Times New Roman"/>
                <w:sz w:val="27"/>
                <w:szCs w:val="27"/>
              </w:rPr>
              <w:t xml:space="preserve">ідповідно до чинного законодавства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цей пам’ятник прикордонникам підлягає демонтажу, але все це треба зробити в юридичній площині. О</w:t>
            </w:r>
            <w:r w:rsidR="00B0661E">
              <w:rPr>
                <w:rFonts w:ascii="Times New Roman" w:hAnsi="Times New Roman" w:cs="Times New Roman"/>
                <w:sz w:val="27"/>
                <w:szCs w:val="27"/>
              </w:rPr>
              <w:t xml:space="preserve">знайомила присутніх з </w:t>
            </w:r>
            <w:r w:rsidR="00BF099B">
              <w:rPr>
                <w:rFonts w:ascii="Times New Roman" w:hAnsi="Times New Roman" w:cs="Times New Roman"/>
                <w:sz w:val="27"/>
                <w:szCs w:val="27"/>
              </w:rPr>
              <w:t>роз’ясненнями</w:t>
            </w:r>
            <w:r w:rsidR="00B0661E">
              <w:rPr>
                <w:rFonts w:ascii="Times New Roman" w:hAnsi="Times New Roman" w:cs="Times New Roman"/>
                <w:sz w:val="27"/>
                <w:szCs w:val="27"/>
              </w:rPr>
              <w:t xml:space="preserve"> Українського інститут національної </w:t>
            </w:r>
            <w:r w:rsidR="00015F07">
              <w:rPr>
                <w:rFonts w:ascii="Times New Roman" w:hAnsi="Times New Roman" w:cs="Times New Roman"/>
                <w:sz w:val="27"/>
                <w:szCs w:val="27"/>
              </w:rPr>
              <w:t>пам’яті</w:t>
            </w:r>
            <w:r w:rsidR="00B0661E">
              <w:rPr>
                <w:rFonts w:ascii="Times New Roman" w:hAnsi="Times New Roman" w:cs="Times New Roman"/>
                <w:sz w:val="27"/>
                <w:szCs w:val="27"/>
              </w:rPr>
              <w:t xml:space="preserve"> стосовно чинних процедур демонтажу пам’ятників та деяких інших аспектів очищ</w:t>
            </w:r>
            <w:r w:rsidR="00EC6632">
              <w:rPr>
                <w:rFonts w:ascii="Times New Roman" w:hAnsi="Times New Roman" w:cs="Times New Roman"/>
                <w:sz w:val="27"/>
                <w:szCs w:val="27"/>
              </w:rPr>
              <w:t>ення громадського простору: «</w:t>
            </w:r>
            <w:r w:rsidR="00015F07">
              <w:rPr>
                <w:rFonts w:ascii="Times New Roman" w:hAnsi="Times New Roman" w:cs="Times New Roman"/>
                <w:sz w:val="27"/>
                <w:szCs w:val="27"/>
              </w:rPr>
              <w:t>Демонтаж монументів, що не мають статусу культурної спадщини або не обліковані належним чином, вирішуються власником такого об’єкта, і дозвіл органів охорони культурної спадщини в цьому випадку не потрібен. Єдиною засторогою щодо відповідних рішень є врахування думки громади, економічна доцільність та можлива культура/мистецька цінність об’єктів, що демонтуються. Зокрема, при вирішенні питання демонтажу пам’ятників та пам’ятних знаків, які не мають статусу об’єкта культурної спадщини, слід врахувати вклад постатей, яким вони присвячені, у культурну спадщину людства, мистецьку складову монумента чи його частин, та розглянути питання передачі вказаних об’єктів на зберігання до спеціальних закладів, зокрема до краєзнавчих музеїв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015F07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При телефонній розмові з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 xml:space="preserve"> представником 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>Українськ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Інститут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>національно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ї </w:t>
            </w:r>
            <w:r w:rsidR="008421BE">
              <w:rPr>
                <w:rFonts w:ascii="Times New Roman" w:hAnsi="Times New Roman" w:cs="Times New Roman"/>
                <w:sz w:val="27"/>
                <w:szCs w:val="27"/>
              </w:rPr>
              <w:t>пам’яті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повідомили, що потрібно підготовити довідку, з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ученням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фото пам’ятника з усіх сторін і над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іслати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листом в Міністерство культури, там 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>дадуть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заключення</w:t>
            </w:r>
            <w:proofErr w:type="spellEnd"/>
            <w:r w:rsidR="00CD032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EC6632" w:rsidRDefault="00D54E76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421BE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8421B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вже писали лист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 xml:space="preserve"> в Міністерство культури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CD0321">
              <w:rPr>
                <w:rFonts w:ascii="Times New Roman" w:hAnsi="Times New Roman" w:cs="Times New Roman"/>
                <w:sz w:val="27"/>
                <w:szCs w:val="27"/>
              </w:rPr>
              <w:t xml:space="preserve">там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надали наказ від 26 серпня 2024 року № 605 «Про визнання такими, що не підлягають занесенню до Державного реєстру нерухомих </w:t>
            </w:r>
            <w:r w:rsidR="008421BE">
              <w:rPr>
                <w:rFonts w:ascii="Times New Roman" w:hAnsi="Times New Roman" w:cs="Times New Roman"/>
                <w:sz w:val="27"/>
                <w:szCs w:val="27"/>
              </w:rPr>
              <w:t>пам’яток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України, об’єктів культурної спадщини</w:t>
            </w:r>
            <w:r w:rsidR="008421BE"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де </w:t>
            </w:r>
            <w:r w:rsidR="008421BE">
              <w:rPr>
                <w:rFonts w:ascii="Times New Roman" w:hAnsi="Times New Roman" w:cs="Times New Roman"/>
                <w:sz w:val="27"/>
                <w:szCs w:val="27"/>
              </w:rPr>
              <w:t>в додатку до наказу окремим пунктом визначена Нововолинська міська територіальна громада  в пункті 2 Пам’ятник радянським прикордонникам не визнаний об’єктом культурної спадщини</w:t>
            </w:r>
            <w:r w:rsidR="007741E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421BE" w:rsidRDefault="008421BE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421BE">
              <w:rPr>
                <w:rFonts w:ascii="Times New Roman" w:hAnsi="Times New Roman" w:cs="Times New Roman"/>
                <w:b/>
                <w:sz w:val="27"/>
                <w:szCs w:val="27"/>
              </w:rPr>
              <w:t>Жук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продовжила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 xml:space="preserve"> знайомити присутніх з рекомендаціями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що </w:t>
            </w:r>
            <w:r w:rsidRPr="008421BE">
              <w:rPr>
                <w:rFonts w:ascii="Times New Roman" w:hAnsi="Times New Roman" w:cs="Times New Roman"/>
                <w:sz w:val="27"/>
                <w:szCs w:val="27"/>
              </w:rPr>
              <w:t>рішення щодо демонтажу, перенесення чи збереження музейного фонду об’єктів, які пов’язані з російською історією та культурою, повинні врахувати висновки науковців та незалежних експертів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  Надалі виноситься питання на розгляд сесії</w:t>
            </w:r>
          </w:p>
          <w:p w:rsidR="003B28FE" w:rsidRDefault="003B28FE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A779D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BA779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внесла припущення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 xml:space="preserve">що буде далі, якщо на громадських слуханнях 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під тиском «зацікавлених» осіб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виріш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 xml:space="preserve">иться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питання не демонтувати пам’ятник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>, а Закон про декомунізацію говорить, що треба зносити</w:t>
            </w:r>
            <w:r w:rsidR="00AA417C">
              <w:rPr>
                <w:rFonts w:ascii="Times New Roman" w:hAnsi="Times New Roman" w:cs="Times New Roman"/>
                <w:sz w:val="27"/>
                <w:szCs w:val="27"/>
              </w:rPr>
              <w:t>?</w:t>
            </w:r>
            <w:r w:rsidR="00BA779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A779D" w:rsidRDefault="00BA779D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779D">
              <w:rPr>
                <w:rFonts w:ascii="Times New Roman" w:hAnsi="Times New Roman" w:cs="Times New Roman"/>
                <w:b/>
                <w:sz w:val="27"/>
                <w:szCs w:val="27"/>
              </w:rPr>
              <w:t>Жук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вона зачитала роз’яснення Інституту національної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памяті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де написано «врахувати думки громади». Депутати є представниками громади,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іхня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думка врахована і питання виноситься на сесію. </w:t>
            </w:r>
          </w:p>
          <w:p w:rsidR="00BA779D" w:rsidRDefault="00BA779D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засідання постійної депутатської комісії долучився начальник юридичного відділу </w:t>
            </w:r>
            <w:proofErr w:type="spellStart"/>
            <w:r w:rsidR="00B8657B">
              <w:rPr>
                <w:rFonts w:ascii="Times New Roman" w:hAnsi="Times New Roman" w:cs="Times New Roman"/>
                <w:sz w:val="27"/>
                <w:szCs w:val="27"/>
              </w:rPr>
              <w:t>Дицьо</w:t>
            </w:r>
            <w:proofErr w:type="spellEnd"/>
            <w:r w:rsidR="00B8657B">
              <w:rPr>
                <w:rFonts w:ascii="Times New Roman" w:hAnsi="Times New Roman" w:cs="Times New Roman"/>
                <w:sz w:val="27"/>
                <w:szCs w:val="27"/>
              </w:rPr>
              <w:t xml:space="preserve"> І.Ю.</w:t>
            </w:r>
          </w:p>
          <w:p w:rsidR="00B8657B" w:rsidRDefault="00B8657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9459F">
              <w:rPr>
                <w:rFonts w:ascii="Times New Roman" w:hAnsi="Times New Roman" w:cs="Times New Roman"/>
                <w:b/>
                <w:sz w:val="27"/>
                <w:szCs w:val="27"/>
              </w:rPr>
              <w:t>Жук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запропонувала для висловлення своєї думки надати слово кожному учаснику обговорення питання демонтажу пам’ятника радянським прикордонникам</w:t>
            </w:r>
          </w:p>
          <w:p w:rsidR="007214EB" w:rsidRDefault="00B8657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9459F">
              <w:rPr>
                <w:rFonts w:ascii="Times New Roman" w:hAnsi="Times New Roman" w:cs="Times New Roman"/>
                <w:b/>
                <w:sz w:val="27"/>
                <w:szCs w:val="27"/>
              </w:rPr>
              <w:t>Киричук І.М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повідомила, що </w:t>
            </w:r>
            <w:r w:rsidR="0069459F">
              <w:rPr>
                <w:rFonts w:ascii="Times New Roman" w:hAnsi="Times New Roman" w:cs="Times New Roman"/>
                <w:sz w:val="27"/>
                <w:szCs w:val="27"/>
              </w:rPr>
              <w:t>відповідно до положення про відділ містобудування та архітектури до функцій відділу відноситься лише надання пропозицій щодо розміщення та архітектурних рішень об’єктів благоустрою, монументального і монументально-декоративного мистецтва</w:t>
            </w:r>
            <w:r w:rsidR="007214EB">
              <w:rPr>
                <w:rFonts w:ascii="Times New Roman" w:hAnsi="Times New Roman" w:cs="Times New Roman"/>
                <w:sz w:val="27"/>
                <w:szCs w:val="27"/>
              </w:rPr>
              <w:t>. Питання щодо встановлення або демонтажу пам’ятних знаків не відноситься до функцій відділу містобудування та архітектури;</w:t>
            </w:r>
          </w:p>
          <w:p w:rsidR="006318F5" w:rsidRDefault="007214EB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14EB">
              <w:rPr>
                <w:rFonts w:ascii="Times New Roman" w:hAnsi="Times New Roman" w:cs="Times New Roman"/>
                <w:b/>
                <w:sz w:val="27"/>
                <w:szCs w:val="27"/>
              </w:rPr>
              <w:t>Голян</w:t>
            </w:r>
            <w:proofErr w:type="spellEnd"/>
            <w:r w:rsidRPr="007214E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повідомив, що вивчали ситуацію, попередньо зробили розрахунки демонтажу: демонтаж самої скульптури,  вивезення, роботи з котлованом і приведення території до </w:t>
            </w:r>
            <w:r w:rsidR="005654A2">
              <w:rPr>
                <w:rFonts w:ascii="Times New Roman" w:hAnsi="Times New Roman" w:cs="Times New Roman"/>
                <w:sz w:val="27"/>
                <w:szCs w:val="27"/>
              </w:rPr>
              <w:t>належного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вигляду -  орієнтовно 320 тис </w:t>
            </w:r>
            <w:r w:rsidR="00576440">
              <w:rPr>
                <w:rFonts w:ascii="Times New Roman" w:hAnsi="Times New Roman" w:cs="Times New Roman"/>
                <w:sz w:val="27"/>
                <w:szCs w:val="27"/>
              </w:rPr>
              <w:t>грн.</w:t>
            </w:r>
          </w:p>
          <w:p w:rsidR="00576440" w:rsidRDefault="00576440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6440">
              <w:rPr>
                <w:rFonts w:ascii="Times New Roman" w:hAnsi="Times New Roman" w:cs="Times New Roman"/>
                <w:b/>
                <w:sz w:val="27"/>
                <w:szCs w:val="27"/>
              </w:rPr>
              <w:t>Жук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повідомила, що в Закарпатській області коли робили демонтаж,  щоб не витрачати бюджетні кошти</w:t>
            </w:r>
            <w:r w:rsidR="005654A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роботи проводили за рахунок коштів безповоротної фінансової допомоги тобто господарським способом.</w:t>
            </w:r>
          </w:p>
          <w:p w:rsidR="002C0527" w:rsidRDefault="002C0527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103A">
              <w:rPr>
                <w:rFonts w:ascii="Times New Roman" w:hAnsi="Times New Roman" w:cs="Times New Roman"/>
                <w:b/>
                <w:sz w:val="27"/>
                <w:szCs w:val="27"/>
              </w:rPr>
              <w:t>Демчук В.І.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запропонував обійтися меншими витратами</w:t>
            </w:r>
            <w:r w:rsidR="00CF103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щоб не руйнувати фундамент, не виконувати роботи з котлованом, а зняти тільки скульптуру, а на  фундамент встановити</w:t>
            </w:r>
            <w:r w:rsidR="00CF103A">
              <w:rPr>
                <w:rFonts w:ascii="Times New Roman" w:hAnsi="Times New Roman" w:cs="Times New Roman"/>
                <w:sz w:val="27"/>
                <w:szCs w:val="27"/>
              </w:rPr>
              <w:t xml:space="preserve">,наприклад,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ка</w:t>
            </w:r>
            <w:r w:rsidR="00CF103A">
              <w:rPr>
                <w:rFonts w:ascii="Times New Roman" w:hAnsi="Times New Roman" w:cs="Times New Roman"/>
                <w:sz w:val="27"/>
                <w:szCs w:val="27"/>
              </w:rPr>
              <w:t xml:space="preserve">мінь з табличкою, що після перемоги на цьому місці буде споруджено пам’ятник всім захисникам України. </w:t>
            </w:r>
          </w:p>
          <w:p w:rsidR="00CF103A" w:rsidRDefault="00CF103A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103A">
              <w:rPr>
                <w:rFonts w:ascii="Times New Roman" w:hAnsi="Times New Roman" w:cs="Times New Roman"/>
                <w:b/>
                <w:sz w:val="27"/>
                <w:szCs w:val="27"/>
              </w:rPr>
              <w:t>Томчук</w:t>
            </w:r>
            <w:proofErr w:type="spellEnd"/>
            <w:r w:rsidRPr="00CF103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вважає, що потрібно зробити з мінімальними затратами: бруківку не чіпати,  скульптуру воїна потрібно демонтувати, постамент залишити і зробити пам’ятну плиту, що там буде встановлено в майбутньому пам’ятник борцям  за волю України;</w:t>
            </w:r>
          </w:p>
          <w:p w:rsidR="00CF103A" w:rsidRDefault="00CF103A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F103A">
              <w:rPr>
                <w:rFonts w:ascii="Times New Roman" w:hAnsi="Times New Roman" w:cs="Times New Roman"/>
                <w:b/>
                <w:sz w:val="27"/>
                <w:szCs w:val="27"/>
              </w:rPr>
              <w:t>Трофимчук</w:t>
            </w:r>
            <w:proofErr w:type="spellEnd"/>
            <w:r w:rsidRPr="00CF103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С.О.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654A2">
              <w:rPr>
                <w:rFonts w:ascii="Times New Roman" w:hAnsi="Times New Roman" w:cs="Times New Roman"/>
                <w:sz w:val="27"/>
                <w:szCs w:val="27"/>
              </w:rPr>
              <w:t>висловився, що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якщо цей пам’ятник не несе ніякої цінності, окрім того він підлягає Закону про декомунізацію, то однозначного його потрібно знімати;</w:t>
            </w:r>
          </w:p>
          <w:p w:rsidR="00B0661E" w:rsidRDefault="00CF103A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203F7">
              <w:rPr>
                <w:rFonts w:ascii="Times New Roman" w:hAnsi="Times New Roman" w:cs="Times New Roman"/>
                <w:b/>
                <w:sz w:val="27"/>
                <w:szCs w:val="27"/>
              </w:rPr>
              <w:t>Дицьо</w:t>
            </w:r>
            <w:proofErr w:type="spellEnd"/>
            <w:r w:rsidRPr="006203F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І.Ю.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203F7">
              <w:rPr>
                <w:rFonts w:ascii="Times New Roman" w:hAnsi="Times New Roman" w:cs="Times New Roman"/>
                <w:sz w:val="27"/>
                <w:szCs w:val="27"/>
              </w:rPr>
              <w:t xml:space="preserve"> з юридичної точки зору територіальна громада є власниками пам’ятника, відповідно рішенням міської ради можна вирішити дане питання;</w:t>
            </w:r>
          </w:p>
          <w:p w:rsidR="006203F7" w:rsidRDefault="006203F7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654A2">
              <w:rPr>
                <w:rFonts w:ascii="Times New Roman" w:hAnsi="Times New Roman" w:cs="Times New Roman"/>
                <w:b/>
                <w:sz w:val="27"/>
                <w:szCs w:val="27"/>
              </w:rPr>
              <w:t>Шульга О.А.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r w:rsidRPr="006203F7">
              <w:rPr>
                <w:rFonts w:ascii="Times New Roman" w:hAnsi="Times New Roman" w:cs="Times New Roman"/>
                <w:sz w:val="27"/>
                <w:szCs w:val="27"/>
              </w:rPr>
              <w:t>є закон про декомунізацію</w:t>
            </w:r>
            <w:r w:rsidR="000C461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потрібно діяти відповідно до чинного законодавства. Якщо звернути увагу на досвід Кривого Рогу, то там давно вже це зробили;</w:t>
            </w:r>
          </w:p>
          <w:p w:rsidR="00537532" w:rsidRDefault="006203F7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203F7">
              <w:rPr>
                <w:rFonts w:ascii="Times New Roman" w:hAnsi="Times New Roman" w:cs="Times New Roman"/>
                <w:b/>
                <w:sz w:val="27"/>
                <w:szCs w:val="27"/>
              </w:rPr>
              <w:t>Демчук В.І.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висловився: «є Закон – виконуємо Закон»;</w:t>
            </w:r>
          </w:p>
          <w:p w:rsidR="006203F7" w:rsidRDefault="006203F7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повідомила присутнім про наявні</w:t>
            </w:r>
            <w:r w:rsidR="00BC0F0D">
              <w:rPr>
                <w:rFonts w:ascii="Times New Roman" w:hAnsi="Times New Roman" w:cs="Times New Roman"/>
                <w:sz w:val="27"/>
                <w:szCs w:val="27"/>
              </w:rPr>
              <w:t xml:space="preserve"> в Нововолинській міській територіальній громаді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C0F0D">
              <w:rPr>
                <w:rFonts w:ascii="Times New Roman" w:hAnsi="Times New Roman" w:cs="Times New Roman"/>
                <w:sz w:val="27"/>
                <w:szCs w:val="27"/>
              </w:rPr>
              <w:t>пам’ятки</w:t>
            </w:r>
            <w:r w:rsidR="000C4616">
              <w:rPr>
                <w:rFonts w:ascii="Times New Roman" w:hAnsi="Times New Roman" w:cs="Times New Roman"/>
                <w:sz w:val="27"/>
                <w:szCs w:val="27"/>
              </w:rPr>
              <w:t xml:space="preserve"> архітектури</w:t>
            </w:r>
            <w:r w:rsidR="00BC0F0D">
              <w:rPr>
                <w:rFonts w:ascii="Times New Roman" w:hAnsi="Times New Roman" w:cs="Times New Roman"/>
                <w:sz w:val="27"/>
                <w:szCs w:val="27"/>
              </w:rPr>
              <w:t xml:space="preserve">, які занесені </w:t>
            </w:r>
            <w:r w:rsidR="000C4616">
              <w:rPr>
                <w:rFonts w:ascii="Times New Roman" w:hAnsi="Times New Roman" w:cs="Times New Roman"/>
                <w:sz w:val="27"/>
                <w:szCs w:val="27"/>
              </w:rPr>
              <w:t>в реєстр і знаходяться під охороною;</w:t>
            </w:r>
          </w:p>
          <w:p w:rsidR="006203F7" w:rsidRDefault="006203F7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>Душук</w:t>
            </w:r>
            <w:proofErr w:type="spellEnd"/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повідомила присутнім про виготовлення охоронної документації;</w:t>
            </w:r>
          </w:p>
          <w:p w:rsidR="00BC0F0D" w:rsidRDefault="00BC0F0D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подякувала присутнім за те, що піднімають дані питання, за те, що підготовилися і змістовно доповіли. </w:t>
            </w:r>
          </w:p>
          <w:p w:rsidR="00162101" w:rsidRDefault="00BC0F0D" w:rsidP="0053753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>Степюк</w:t>
            </w:r>
            <w:proofErr w:type="spellEnd"/>
            <w:r w:rsidRPr="00BC0F0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зауважила, що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балансоутримувачу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даного пам’ятника для виконання робіт потрібне рішення сесії міської ради</w:t>
            </w:r>
            <w:r w:rsidR="00011988">
              <w:rPr>
                <w:rFonts w:ascii="Times New Roman" w:hAnsi="Times New Roman" w:cs="Times New Roman"/>
                <w:sz w:val="27"/>
                <w:szCs w:val="27"/>
              </w:rPr>
              <w:t xml:space="preserve">, тому потрібно дати доручення відділу </w:t>
            </w:r>
            <w:r w:rsidR="0001198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будівництва та комунального господарства підготувати проект рішення;</w:t>
            </w:r>
          </w:p>
          <w:p w:rsidR="000502A8" w:rsidRPr="000502A8" w:rsidRDefault="00162101" w:rsidP="008309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E494B">
              <w:rPr>
                <w:rFonts w:ascii="Times New Roman" w:hAnsi="Times New Roman" w:cs="Times New Roman"/>
                <w:b/>
                <w:sz w:val="27"/>
                <w:szCs w:val="27"/>
              </w:rPr>
              <w:t>Вихор І.В.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дала доручення відділу </w:t>
            </w:r>
            <w:r w:rsidR="00830922">
              <w:rPr>
                <w:rFonts w:ascii="Times New Roman" w:hAnsi="Times New Roman" w:cs="Times New Roman"/>
                <w:sz w:val="27"/>
                <w:szCs w:val="27"/>
              </w:rPr>
              <w:t>будівництва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та комунального господарства: в</w:t>
            </w:r>
            <w:r w:rsidR="00BC0F0D">
              <w:rPr>
                <w:rFonts w:ascii="Times New Roman" w:hAnsi="Times New Roman" w:cs="Times New Roman"/>
                <w:sz w:val="27"/>
                <w:szCs w:val="27"/>
              </w:rPr>
              <w:t xml:space="preserve">раховуючи чинне законодавство, наказ Міністерства культури і рекомендації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підготовили з даного питання 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BC0F0D">
              <w:rPr>
                <w:rFonts w:ascii="Times New Roman" w:hAnsi="Times New Roman" w:cs="Times New Roman"/>
                <w:sz w:val="27"/>
                <w:szCs w:val="27"/>
              </w:rPr>
              <w:t>роєкт</w:t>
            </w:r>
            <w:proofErr w:type="spellEnd"/>
            <w:r w:rsidR="00BC0F0D">
              <w:rPr>
                <w:rFonts w:ascii="Times New Roman" w:hAnsi="Times New Roman" w:cs="Times New Roman"/>
                <w:sz w:val="27"/>
                <w:szCs w:val="27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міської ради</w:t>
            </w:r>
            <w:r w:rsidR="00BC0F0D">
              <w:rPr>
                <w:rFonts w:ascii="Times New Roman" w:hAnsi="Times New Roman" w:cs="Times New Roman"/>
                <w:sz w:val="27"/>
                <w:szCs w:val="27"/>
              </w:rPr>
              <w:t xml:space="preserve"> для розгляду депутатам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на постійних комісіях, дні депутата і сесії міської ради</w:t>
            </w:r>
            <w:r w:rsidR="008276CA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0502A8" w:rsidRPr="000502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ПРОПОЗИЦІЯ:</w:t>
            </w:r>
          </w:p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Default="000E18E3" w:rsidP="000E18E3">
            <w:pPr>
              <w:ind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1) підтримати звернення</w:t>
            </w:r>
            <w:r w:rsidR="006203F7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голови ГО «Незламні </w:t>
            </w:r>
            <w:proofErr w:type="spellStart"/>
            <w:r w:rsidR="006203F7">
              <w:rPr>
                <w:rFonts w:ascii="Times New Roman" w:hAnsi="Times New Roman" w:cs="Times New Roman"/>
                <w:iCs/>
                <w:sz w:val="27"/>
                <w:szCs w:val="27"/>
              </w:rPr>
              <w:t>нововолинці</w:t>
            </w:r>
            <w:proofErr w:type="spellEnd"/>
            <w:r w:rsidR="006203F7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» </w:t>
            </w:r>
            <w:r w:rsidR="00162101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Демчука В.І. </w:t>
            </w:r>
            <w:r w:rsidR="006203F7">
              <w:rPr>
                <w:rFonts w:ascii="Times New Roman" w:hAnsi="Times New Roman" w:cs="Times New Roman"/>
                <w:iCs/>
                <w:sz w:val="27"/>
                <w:szCs w:val="27"/>
              </w:rPr>
              <w:t>щодо</w:t>
            </w:r>
            <w:r w:rsidR="00162101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демонтажу монументу, що знаходиться на бульварі Шевченка та символізує прикордонників радянського часу;</w:t>
            </w:r>
            <w:r w:rsidR="006203F7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</w:p>
          <w:p w:rsidR="000E18E3" w:rsidRPr="00A375F2" w:rsidRDefault="000E18E3" w:rsidP="000E18E3">
            <w:pPr>
              <w:ind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2) </w:t>
            </w:r>
            <w:r w:rsidR="001E494B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відділу будівництва на комунального господарства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підготовити на чергову сесію Нововолинської міської ради  проект рішення </w:t>
            </w:r>
            <w:r w:rsidR="001E494B" w:rsidRPr="001E494B">
              <w:rPr>
                <w:rFonts w:ascii="Times New Roman" w:hAnsi="Times New Roman" w:cs="Times New Roman"/>
                <w:iCs/>
                <w:sz w:val="27"/>
                <w:szCs w:val="27"/>
              </w:rPr>
              <w:t>щодо демонтажу монументу, що знаходиться на бульварі Шевченка та символізує прикордонників радянського часу</w:t>
            </w: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B31318" w:rsidRPr="00A375F2" w:rsidRDefault="00B31318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B31318" w:rsidRPr="00A375F2" w:rsidRDefault="00B31318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B31318" w:rsidRPr="00A375F2" w:rsidRDefault="00B31318" w:rsidP="00C225D1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За – 3; проти – 0; утрималися – 0; відсутні - 2</w:t>
            </w:r>
          </w:p>
        </w:tc>
      </w:tr>
      <w:tr w:rsidR="00B31318" w:rsidRPr="00A375F2" w:rsidTr="00AA417C">
        <w:tc>
          <w:tcPr>
            <w:tcW w:w="2280" w:type="dxa"/>
          </w:tcPr>
          <w:p w:rsidR="00B31318" w:rsidRPr="00A375F2" w:rsidRDefault="00B31318" w:rsidP="00C225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B31318" w:rsidRPr="00A375F2" w:rsidRDefault="00B31318" w:rsidP="00C225D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AA417C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bookmarkEnd w:id="0"/>
    </w:tbl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101" w:rsidRDefault="00162101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A417C" w:rsidRDefault="00AA417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915E7" w:rsidRPr="00F915E7" w:rsidRDefault="00F5401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353D2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F353D2">
        <w:rPr>
          <w:rFonts w:ascii="Times New Roman" w:hAnsi="Times New Roman" w:cs="Times New Roman"/>
          <w:sz w:val="28"/>
          <w:szCs w:val="28"/>
          <w:lang w:val="ru-RU"/>
        </w:rPr>
        <w:t xml:space="preserve"> ТОМЧУК</w:t>
      </w:r>
    </w:p>
    <w:sectPr w:rsidR="00F915E7" w:rsidRPr="00F915E7" w:rsidSect="000B12DB">
      <w:footerReference w:type="default" r:id="rId9"/>
      <w:pgSz w:w="11906" w:h="16838"/>
      <w:pgMar w:top="284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63" w:rsidRDefault="001F0363" w:rsidP="008F6CBB">
      <w:pPr>
        <w:spacing w:after="0" w:line="240" w:lineRule="auto"/>
      </w:pPr>
      <w:r>
        <w:separator/>
      </w:r>
    </w:p>
  </w:endnote>
  <w:endnote w:type="continuationSeparator" w:id="0">
    <w:p w:rsidR="001F0363" w:rsidRDefault="001F0363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A4750" w:rsidRDefault="00CA47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922">
          <w:rPr>
            <w:noProof/>
          </w:rPr>
          <w:t>6</w:t>
        </w:r>
        <w:r>
          <w:fldChar w:fldCharType="end"/>
        </w:r>
      </w:p>
    </w:sdtContent>
  </w:sdt>
  <w:p w:rsidR="00CA4750" w:rsidRDefault="00CA47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63" w:rsidRDefault="001F0363" w:rsidP="008F6CBB">
      <w:pPr>
        <w:spacing w:after="0" w:line="240" w:lineRule="auto"/>
      </w:pPr>
      <w:r>
        <w:separator/>
      </w:r>
    </w:p>
  </w:footnote>
  <w:footnote w:type="continuationSeparator" w:id="0">
    <w:p w:rsidR="001F0363" w:rsidRDefault="001F0363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8B408DB4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11988"/>
    <w:rsid w:val="00015F07"/>
    <w:rsid w:val="00031F31"/>
    <w:rsid w:val="000447D7"/>
    <w:rsid w:val="000502A8"/>
    <w:rsid w:val="00057FF2"/>
    <w:rsid w:val="00080E7C"/>
    <w:rsid w:val="0008198F"/>
    <w:rsid w:val="0008460C"/>
    <w:rsid w:val="00086EA0"/>
    <w:rsid w:val="000877F2"/>
    <w:rsid w:val="00094814"/>
    <w:rsid w:val="000A1703"/>
    <w:rsid w:val="000B12DB"/>
    <w:rsid w:val="000B1835"/>
    <w:rsid w:val="000B1DDF"/>
    <w:rsid w:val="000C4616"/>
    <w:rsid w:val="000C4EBA"/>
    <w:rsid w:val="000D6135"/>
    <w:rsid w:val="000D7989"/>
    <w:rsid w:val="000E05A9"/>
    <w:rsid w:val="000E1390"/>
    <w:rsid w:val="000E18E3"/>
    <w:rsid w:val="000E1A4A"/>
    <w:rsid w:val="000F3EAC"/>
    <w:rsid w:val="00112A8C"/>
    <w:rsid w:val="00114BE0"/>
    <w:rsid w:val="00117B8D"/>
    <w:rsid w:val="00130B00"/>
    <w:rsid w:val="00136BBF"/>
    <w:rsid w:val="0015767D"/>
    <w:rsid w:val="00162101"/>
    <w:rsid w:val="00166CDB"/>
    <w:rsid w:val="00167396"/>
    <w:rsid w:val="0017696C"/>
    <w:rsid w:val="00196A55"/>
    <w:rsid w:val="001E494B"/>
    <w:rsid w:val="001F0363"/>
    <w:rsid w:val="0021574A"/>
    <w:rsid w:val="00243258"/>
    <w:rsid w:val="0026328B"/>
    <w:rsid w:val="0026514A"/>
    <w:rsid w:val="00272BAF"/>
    <w:rsid w:val="00273FB7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34D7"/>
    <w:rsid w:val="00316479"/>
    <w:rsid w:val="0032460D"/>
    <w:rsid w:val="0033103E"/>
    <w:rsid w:val="0034776F"/>
    <w:rsid w:val="00351DB0"/>
    <w:rsid w:val="00361DE6"/>
    <w:rsid w:val="00375916"/>
    <w:rsid w:val="00391495"/>
    <w:rsid w:val="00396554"/>
    <w:rsid w:val="003B28FE"/>
    <w:rsid w:val="003D1F58"/>
    <w:rsid w:val="003E1E31"/>
    <w:rsid w:val="003E5B02"/>
    <w:rsid w:val="00403136"/>
    <w:rsid w:val="00446FFD"/>
    <w:rsid w:val="0045523D"/>
    <w:rsid w:val="004566DE"/>
    <w:rsid w:val="004652AA"/>
    <w:rsid w:val="0047071A"/>
    <w:rsid w:val="004748E4"/>
    <w:rsid w:val="00476419"/>
    <w:rsid w:val="00490441"/>
    <w:rsid w:val="004D50BD"/>
    <w:rsid w:val="004E2995"/>
    <w:rsid w:val="004F58C2"/>
    <w:rsid w:val="004F7FE0"/>
    <w:rsid w:val="005022FF"/>
    <w:rsid w:val="00506DF3"/>
    <w:rsid w:val="00510070"/>
    <w:rsid w:val="00524478"/>
    <w:rsid w:val="00537532"/>
    <w:rsid w:val="0054204A"/>
    <w:rsid w:val="0055789E"/>
    <w:rsid w:val="005654A2"/>
    <w:rsid w:val="00576440"/>
    <w:rsid w:val="00594115"/>
    <w:rsid w:val="005A6255"/>
    <w:rsid w:val="005D393C"/>
    <w:rsid w:val="00601539"/>
    <w:rsid w:val="00603E9D"/>
    <w:rsid w:val="00604D35"/>
    <w:rsid w:val="00604F5A"/>
    <w:rsid w:val="00613316"/>
    <w:rsid w:val="006135E7"/>
    <w:rsid w:val="006203F7"/>
    <w:rsid w:val="006244E6"/>
    <w:rsid w:val="006318F5"/>
    <w:rsid w:val="006358C1"/>
    <w:rsid w:val="00637AE0"/>
    <w:rsid w:val="006456A9"/>
    <w:rsid w:val="00652B12"/>
    <w:rsid w:val="00681621"/>
    <w:rsid w:val="00686144"/>
    <w:rsid w:val="006907E0"/>
    <w:rsid w:val="0069459F"/>
    <w:rsid w:val="006A6505"/>
    <w:rsid w:val="006A65EE"/>
    <w:rsid w:val="006B2016"/>
    <w:rsid w:val="006B26FB"/>
    <w:rsid w:val="007168FF"/>
    <w:rsid w:val="007214EB"/>
    <w:rsid w:val="007232D7"/>
    <w:rsid w:val="00727854"/>
    <w:rsid w:val="00771221"/>
    <w:rsid w:val="00772609"/>
    <w:rsid w:val="007741E7"/>
    <w:rsid w:val="00784624"/>
    <w:rsid w:val="00790611"/>
    <w:rsid w:val="007A492E"/>
    <w:rsid w:val="007B7778"/>
    <w:rsid w:val="007C2E79"/>
    <w:rsid w:val="007C6C3A"/>
    <w:rsid w:val="007D1590"/>
    <w:rsid w:val="007F6A88"/>
    <w:rsid w:val="00802212"/>
    <w:rsid w:val="008048E3"/>
    <w:rsid w:val="00813A32"/>
    <w:rsid w:val="008203C5"/>
    <w:rsid w:val="00825E3A"/>
    <w:rsid w:val="008276CA"/>
    <w:rsid w:val="00830922"/>
    <w:rsid w:val="00833612"/>
    <w:rsid w:val="008364C5"/>
    <w:rsid w:val="008421BE"/>
    <w:rsid w:val="00862FDF"/>
    <w:rsid w:val="008649D4"/>
    <w:rsid w:val="008B4458"/>
    <w:rsid w:val="008C75FD"/>
    <w:rsid w:val="008D132A"/>
    <w:rsid w:val="008F6CBB"/>
    <w:rsid w:val="0090574A"/>
    <w:rsid w:val="009070FF"/>
    <w:rsid w:val="0091222C"/>
    <w:rsid w:val="00920489"/>
    <w:rsid w:val="00925466"/>
    <w:rsid w:val="009261F0"/>
    <w:rsid w:val="00956EA5"/>
    <w:rsid w:val="00965A64"/>
    <w:rsid w:val="009A4675"/>
    <w:rsid w:val="009B76E5"/>
    <w:rsid w:val="009E1C6C"/>
    <w:rsid w:val="009E1CB3"/>
    <w:rsid w:val="009E42BD"/>
    <w:rsid w:val="009E6257"/>
    <w:rsid w:val="009F1330"/>
    <w:rsid w:val="009F3BEF"/>
    <w:rsid w:val="00A012E1"/>
    <w:rsid w:val="00A07E7E"/>
    <w:rsid w:val="00A12D1B"/>
    <w:rsid w:val="00A2598F"/>
    <w:rsid w:val="00A375F2"/>
    <w:rsid w:val="00A460E8"/>
    <w:rsid w:val="00A65A40"/>
    <w:rsid w:val="00A74372"/>
    <w:rsid w:val="00A77361"/>
    <w:rsid w:val="00A87C8F"/>
    <w:rsid w:val="00A87EBE"/>
    <w:rsid w:val="00AA32D7"/>
    <w:rsid w:val="00AA34D7"/>
    <w:rsid w:val="00AA417C"/>
    <w:rsid w:val="00AC1302"/>
    <w:rsid w:val="00AD29ED"/>
    <w:rsid w:val="00AD49D3"/>
    <w:rsid w:val="00AE02FE"/>
    <w:rsid w:val="00AE126A"/>
    <w:rsid w:val="00AE2AD4"/>
    <w:rsid w:val="00AF27B0"/>
    <w:rsid w:val="00AF5D55"/>
    <w:rsid w:val="00B0661E"/>
    <w:rsid w:val="00B24B53"/>
    <w:rsid w:val="00B31318"/>
    <w:rsid w:val="00B3282A"/>
    <w:rsid w:val="00B3371B"/>
    <w:rsid w:val="00B34D55"/>
    <w:rsid w:val="00B4402E"/>
    <w:rsid w:val="00B63417"/>
    <w:rsid w:val="00B81230"/>
    <w:rsid w:val="00B83AAA"/>
    <w:rsid w:val="00B8657B"/>
    <w:rsid w:val="00BA5580"/>
    <w:rsid w:val="00BA779D"/>
    <w:rsid w:val="00BC0DD5"/>
    <w:rsid w:val="00BC0F0D"/>
    <w:rsid w:val="00BC6431"/>
    <w:rsid w:val="00BD5C2C"/>
    <w:rsid w:val="00BD625D"/>
    <w:rsid w:val="00BE7A8F"/>
    <w:rsid w:val="00BF0229"/>
    <w:rsid w:val="00BF099B"/>
    <w:rsid w:val="00BF4514"/>
    <w:rsid w:val="00BF72A1"/>
    <w:rsid w:val="00C02873"/>
    <w:rsid w:val="00C104F3"/>
    <w:rsid w:val="00C15BC7"/>
    <w:rsid w:val="00C5330F"/>
    <w:rsid w:val="00C623BA"/>
    <w:rsid w:val="00C9480E"/>
    <w:rsid w:val="00CA252F"/>
    <w:rsid w:val="00CA4750"/>
    <w:rsid w:val="00CA6250"/>
    <w:rsid w:val="00CD0321"/>
    <w:rsid w:val="00CF103A"/>
    <w:rsid w:val="00D00498"/>
    <w:rsid w:val="00D12704"/>
    <w:rsid w:val="00D12FF2"/>
    <w:rsid w:val="00D15F5B"/>
    <w:rsid w:val="00D233B4"/>
    <w:rsid w:val="00D3154D"/>
    <w:rsid w:val="00D44EF3"/>
    <w:rsid w:val="00D54E76"/>
    <w:rsid w:val="00D61635"/>
    <w:rsid w:val="00D65097"/>
    <w:rsid w:val="00D67054"/>
    <w:rsid w:val="00D8130F"/>
    <w:rsid w:val="00D94614"/>
    <w:rsid w:val="00D962AF"/>
    <w:rsid w:val="00DB221C"/>
    <w:rsid w:val="00DB2449"/>
    <w:rsid w:val="00DF64A8"/>
    <w:rsid w:val="00E079E6"/>
    <w:rsid w:val="00E31F2A"/>
    <w:rsid w:val="00E57CF8"/>
    <w:rsid w:val="00EA70FF"/>
    <w:rsid w:val="00EB0B13"/>
    <w:rsid w:val="00EB1805"/>
    <w:rsid w:val="00EB4781"/>
    <w:rsid w:val="00EC03CB"/>
    <w:rsid w:val="00EC315F"/>
    <w:rsid w:val="00EC6632"/>
    <w:rsid w:val="00ED0FA3"/>
    <w:rsid w:val="00ED6BF1"/>
    <w:rsid w:val="00EE0263"/>
    <w:rsid w:val="00F16574"/>
    <w:rsid w:val="00F30632"/>
    <w:rsid w:val="00F353D2"/>
    <w:rsid w:val="00F3696F"/>
    <w:rsid w:val="00F41153"/>
    <w:rsid w:val="00F46602"/>
    <w:rsid w:val="00F54013"/>
    <w:rsid w:val="00F64644"/>
    <w:rsid w:val="00F915E7"/>
    <w:rsid w:val="00F9207F"/>
    <w:rsid w:val="00FA20ED"/>
    <w:rsid w:val="00FA554A"/>
    <w:rsid w:val="00FA5CF8"/>
    <w:rsid w:val="00FB25F2"/>
    <w:rsid w:val="00FE16DB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6</Pages>
  <Words>8868</Words>
  <Characters>5056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135</cp:revision>
  <cp:lastPrinted>2024-10-10T07:13:00Z</cp:lastPrinted>
  <dcterms:created xsi:type="dcterms:W3CDTF">2024-05-23T13:39:00Z</dcterms:created>
  <dcterms:modified xsi:type="dcterms:W3CDTF">2024-10-29T07:13:00Z</dcterms:modified>
</cp:coreProperties>
</file>