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569C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72CA8579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E6F54E3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701871E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74D6011B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50F55B86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FC5011D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C8A2C7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7F0E0F" w:rsidRPr="00B64FC4">
        <w:rPr>
          <w:rFonts w:ascii="Times New Roman" w:hAnsi="Times New Roman"/>
          <w:b/>
          <w:sz w:val="28"/>
          <w:szCs w:val="28"/>
          <w:lang w:eastAsia="uk-UA"/>
        </w:rPr>
        <w:t>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7F0E0F" w:rsidRPr="00B64FC4">
        <w:rPr>
          <w:rFonts w:ascii="Times New Roman" w:hAnsi="Times New Roman"/>
          <w:b/>
          <w:sz w:val="28"/>
          <w:szCs w:val="28"/>
          <w:lang w:eastAsia="uk-UA"/>
        </w:rPr>
        <w:t>0137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7319A633" w14:textId="77777777" w:rsidR="00175D0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09E0BF" w14:textId="77777777" w:rsidR="00051AEC" w:rsidRPr="00051AEC" w:rsidRDefault="00051AEC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27FFE0B8" w14:textId="77777777" w:rsidR="007F0E0F" w:rsidRPr="007F0E0F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7F0E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1E5CCAD0" w14:textId="77777777" w:rsidR="007F0E0F" w:rsidRPr="007F0E0F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(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щодо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класом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)</w:t>
      </w:r>
    </w:p>
    <w:p w14:paraId="68DD4A7A" w14:textId="77777777" w:rsidR="007F0E0F" w:rsidRPr="007F0E0F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(СС2)</w:t>
      </w:r>
      <w:r w:rsidRPr="007F0E0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або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оцінці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згідно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із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України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оцінку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7F0E0F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»)</w:t>
      </w:r>
    </w:p>
    <w:p w14:paraId="0C7F1E03" w14:textId="77777777" w:rsidR="00F3224A" w:rsidRPr="007F0E0F" w:rsidRDefault="00F3224A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03AF1DF4" w14:textId="77777777"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701CCA57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B8B6E5C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4F15718C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47"/>
        <w:gridCol w:w="6271"/>
      </w:tblGrid>
      <w:tr w:rsidR="004D4238" w:rsidRPr="00C835C2" w14:paraId="3A261F6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F58F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20862101" w14:textId="77777777" w:rsidTr="00B67A8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3908671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A8281D4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B879E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44E9DEE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770D6BA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58E7EEB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54BD9E7F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9765AF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1C8B52C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F3488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3B3136C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A0F8027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FB44EC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733F16BC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658209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0DE7D35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11A2B1A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29871F3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3FC5C4B2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2117A53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32A5D4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B48C036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2102AE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7EEE8C37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0B83A2D3" w14:textId="77777777" w:rsidTr="00B67A8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4ACE320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792329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ACCC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497DC70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794A2DB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DC99AB5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2A40CCB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2FAAD2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35D25444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0F7820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124431C5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5D36034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7C284A7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30BD1C8F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61FD5A5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4F7E8A0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481F5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48B9C99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1A781328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3FBD334" w14:textId="77777777" w:rsidTr="00B67A88">
        <w:trPr>
          <w:gridAfter w:val="1"/>
          <w:wAfter w:w="309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40A4275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8A4591F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383E509A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23CAC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1048DCEF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6EDA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8D580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34633" w14:textId="77777777" w:rsidR="007421BC" w:rsidRPr="007F0E0F" w:rsidRDefault="009567A3" w:rsidP="00F32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0E0F"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34,37</w:t>
            </w:r>
          </w:p>
        </w:tc>
      </w:tr>
      <w:tr w:rsidR="007421BC" w:rsidRPr="006B4EAB" w14:paraId="2D21DD9C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07E76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5333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4BFAB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49CB6C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20DF94D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4167D820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F6CF6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3D131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04A3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0A196281" w14:textId="77777777" w:rsidTr="00B67A8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27A7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D1E51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0CB6F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010F2B7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4A80A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B64FC4" w14:paraId="4873CCA6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2ADE0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52EB7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D43C" w14:textId="77777777" w:rsidR="00145FBB" w:rsidRPr="007F0E0F" w:rsidRDefault="007F0E0F" w:rsidP="0005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Початок 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об’єктах будівництва, що за класом наслідків (відповідальності) належать до об’єктів з середніми (СС2) наслідками або підлягають оцінці впливу на довкілля згідно із Законом України «Про оцінку впливу на довкілля»</w:t>
            </w:r>
          </w:p>
        </w:tc>
      </w:tr>
      <w:tr w:rsidR="00145FBB" w:rsidRPr="00051AEC" w14:paraId="5500FF07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E7C1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D9CB9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2353B" w14:textId="77777777" w:rsidR="007F0E0F" w:rsidRPr="007F0E0F" w:rsidRDefault="007F0E0F" w:rsidP="007F0E0F">
            <w:pPr>
              <w:spacing w:after="0" w:line="25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додаються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480F1F9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документа,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земельною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ділянкою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суперфіцію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  <w:bookmarkStart w:id="2" w:name="n503"/>
            <w:bookmarkEnd w:id="2"/>
          </w:p>
          <w:p w14:paraId="21CFB99F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розпорядчого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комплексної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реконструкції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кварталів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мікрорайонів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застарілого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фонду -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комплексної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реконструкції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кварталів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мікрорайонів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застарілого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фонду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замовлення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державної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влади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місцевого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землях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державної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замість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документа,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користування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земельною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ділянкою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);</w:t>
            </w:r>
          </w:p>
          <w:p w14:paraId="3910CC46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3" w:name="n504"/>
            <w:bookmarkStart w:id="4" w:name="n505"/>
            <w:bookmarkEnd w:id="3"/>
            <w:bookmarkEnd w:id="4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документа,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посвідчує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будівлю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споруду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реконструкції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реставрації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ремонту,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прийняте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Закону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багатоквартирному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»;</w:t>
            </w:r>
          </w:p>
          <w:p w14:paraId="54796628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4) документ,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будинком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об’єднанням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управителем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житлово-будівельним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кооперативом, -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реконструкції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реставрації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ремонту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об’єднанням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співвласників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управителем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багатоквартирного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будинку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житлово-будівельним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житловим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 кооперативом;</w:t>
            </w:r>
          </w:p>
          <w:p w14:paraId="5050E65F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n1694"/>
            <w:bookmarkStart w:id="6" w:name="n506"/>
            <w:bookmarkEnd w:id="5"/>
            <w:bookmarkEnd w:id="6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здійснюють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нагляд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4AA29C2F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7" w:name="n1696"/>
            <w:bookmarkEnd w:id="7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інженера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-консультанта (у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залучення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);</w:t>
            </w:r>
          </w:p>
          <w:p w14:paraId="5B4E9076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8" w:name="n1695"/>
            <w:bookmarkStart w:id="9" w:name="n507"/>
            <w:bookmarkEnd w:id="8"/>
            <w:bookmarkEnd w:id="9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ліцензію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надає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право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кваліфікаційні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сертифікати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7008F374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0" w:name="n1165"/>
            <w:bookmarkEnd w:id="10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впливу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випадках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hyperlink r:id="rId6" w:tgtFrame="_blank" w:history="1">
              <w:r w:rsidRPr="007F0E0F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 xml:space="preserve">Законом </w:t>
              </w:r>
              <w:proofErr w:type="spellStart"/>
              <w:r w:rsidRPr="007F0E0F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України</w:t>
              </w:r>
              <w:proofErr w:type="spellEnd"/>
            </w:hyperlink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впливу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</w:p>
          <w:p w14:paraId="22709B42" w14:textId="77777777" w:rsidR="00145FBB" w:rsidRPr="007F0E0F" w:rsidRDefault="007F0E0F" w:rsidP="007F0E0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документа,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посвідчує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земельною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ділянкою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договору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суперфіцію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документа,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посвідчує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власності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будівлю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споруду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не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державна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такого права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здійснювалася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Державному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речових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 на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нерухоме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майно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У такому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інформація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 документ,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посвідчує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відповідне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речове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право,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зазначається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видачу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дозволу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будівельних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робіт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7A88" w:rsidRPr="00B64FC4" w14:paraId="495D106E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49765" w14:textId="77777777" w:rsidR="00B67A88" w:rsidRPr="0042661B" w:rsidRDefault="00B67A88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0CE17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1E5F" w14:textId="77777777" w:rsidR="00B67A88" w:rsidRPr="007F0E0F" w:rsidRDefault="007F0E0F" w:rsidP="00051AE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Заявник подає документи виключно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</w:t>
            </w:r>
            <w:r w:rsidRPr="007F0E0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суб’єкт надання відповідної послуги (крім об’єктів, на які поширюється дія Закону України «Про державну таємницю»).</w:t>
            </w:r>
          </w:p>
        </w:tc>
      </w:tr>
      <w:tr w:rsidR="00B67A88" w:rsidRPr="00C835C2" w14:paraId="07680112" w14:textId="77777777" w:rsidTr="00B67A8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C37B6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1FC3D" w14:textId="77777777" w:rsidR="00B67A88" w:rsidRPr="007E584D" w:rsidRDefault="00B67A88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66FB4" w14:textId="77777777" w:rsidR="00B67A88" w:rsidRPr="007F0E0F" w:rsidRDefault="00B67A88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B67A88" w:rsidRPr="00C835C2" w14:paraId="0F6BF66F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DB740" w14:textId="77777777" w:rsidR="00B67A88" w:rsidRPr="007F0E0F" w:rsidRDefault="00B6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F0E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B67A88" w:rsidRPr="00C835C2" w14:paraId="6C816765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9AE2E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BFAD8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30C07" w14:textId="77777777" w:rsidR="00B67A88" w:rsidRPr="007F0E0F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14:paraId="2F3086FE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87B63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25BCF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8DBAF" w14:textId="77777777" w:rsidR="00B67A88" w:rsidRPr="007F0E0F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14:paraId="30B0840E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77D83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F01E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68D88" w14:textId="77777777" w:rsidR="00B67A88" w:rsidRPr="007F0E0F" w:rsidRDefault="00B67A88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051AEC" w14:paraId="651A11FD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6EB44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C9C45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96" w:type="pct"/>
          </w:tcPr>
          <w:p w14:paraId="2043D39E" w14:textId="77777777" w:rsidR="00B67A88" w:rsidRPr="007F0E0F" w:rsidRDefault="007F0E0F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7F0E0F">
              <w:rPr>
                <w:sz w:val="24"/>
                <w:szCs w:val="24"/>
                <w:lang w:eastAsia="ru-RU"/>
              </w:rPr>
              <w:t>Десять робочих днів з дня реєстрації заяви</w:t>
            </w:r>
          </w:p>
        </w:tc>
      </w:tr>
      <w:tr w:rsidR="00B67A88" w:rsidRPr="00C835C2" w14:paraId="080A013C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0FC97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F2FD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96" w:type="pct"/>
          </w:tcPr>
          <w:p w14:paraId="60B4AE59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Неподання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прийняття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рішення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видачу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такого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дозволу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0E916F64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1" w:name="n513"/>
            <w:bookmarkEnd w:id="11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Невідповідність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14:paraId="7C6B07BF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2" w:name="n514"/>
            <w:bookmarkEnd w:id="12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Виявлення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недостовірних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поданих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документах;</w:t>
            </w:r>
          </w:p>
          <w:p w14:paraId="311521F9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3" w:name="n1167"/>
            <w:bookmarkEnd w:id="13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впливу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випадках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hyperlink r:id="rId7" w:tgtFrame="_blank" w:history="1">
              <w:r w:rsidRPr="007F0E0F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 xml:space="preserve">Законом </w:t>
              </w:r>
              <w:proofErr w:type="spellStart"/>
              <w:r w:rsidRPr="007F0E0F">
                <w:rPr>
                  <w:rFonts w:ascii="Times New Roman" w:eastAsia="Times New Roman" w:hAnsi="Times New Roman"/>
                  <w:sz w:val="24"/>
                  <w:szCs w:val="24"/>
                  <w:lang w:eastAsia="uk-UA"/>
                </w:rPr>
                <w:t>України</w:t>
              </w:r>
              <w:proofErr w:type="spellEnd"/>
            </w:hyperlink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впливу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»;</w:t>
            </w:r>
          </w:p>
          <w:p w14:paraId="12C52367" w14:textId="77777777" w:rsidR="007F0E0F" w:rsidRPr="007F0E0F" w:rsidRDefault="007F0E0F" w:rsidP="007F0E0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заяви 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видачу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дозволу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особою, яка не є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пунктом 4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частини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першої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 Закону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регулювання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уповноваженою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ним особою;</w:t>
            </w:r>
          </w:p>
          <w:p w14:paraId="2FEBE702" w14:textId="77777777" w:rsidR="00B67A88" w:rsidRPr="007F0E0F" w:rsidRDefault="007F0E0F" w:rsidP="007F0E0F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7F0E0F">
              <w:rPr>
                <w:sz w:val="24"/>
                <w:szCs w:val="24"/>
                <w:lang w:eastAsia="uk-UA"/>
              </w:rPr>
              <w:t>6) Наявність у Державному реєстрі речових прав на нерухоме майно обтяжень, пов’язаних з будівництвом (арешт, пов’язаний з користуванням відповідним об’єктом, заборона проведення будівельних робіт, обмеження користування земельною ділянкою тощо).</w:t>
            </w:r>
          </w:p>
        </w:tc>
      </w:tr>
      <w:tr w:rsidR="00B67A88" w:rsidRPr="00051AEC" w14:paraId="2B46ADA4" w14:textId="77777777" w:rsidTr="00B67A8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E158B" w14:textId="77777777"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D388F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8F3B" w14:textId="77777777" w:rsidR="00B67A88" w:rsidRPr="007F0E0F" w:rsidRDefault="007F0E0F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відмова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видачі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дозволу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будівельних</w:t>
            </w:r>
            <w:proofErr w:type="spellEnd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0E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робіт</w:t>
            </w:r>
            <w:proofErr w:type="spellEnd"/>
          </w:p>
        </w:tc>
      </w:tr>
      <w:tr w:rsidR="00B67A88" w:rsidRPr="007E584D" w14:paraId="3BC5592D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32EF" w14:textId="77777777" w:rsidR="00B67A88" w:rsidRPr="007E584D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EEA2B" w14:textId="77777777"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4A51" w14:textId="77777777" w:rsidR="00051AEC" w:rsidRPr="007F0E0F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5961BEF8" w14:textId="77777777" w:rsidR="00051AEC" w:rsidRPr="007F0E0F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5E81D1E" w14:textId="77777777" w:rsidR="00051AEC" w:rsidRPr="007F0E0F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04B1C665" w14:textId="77777777" w:rsidR="00051AEC" w:rsidRPr="007F0E0F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14B089" w14:textId="77777777" w:rsidR="00B67A88" w:rsidRPr="007F0E0F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Законом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67A88" w:rsidRPr="009567A3" w14:paraId="3F5777FA" w14:textId="7777777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F249" w14:textId="77777777"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D9350" w14:textId="77777777"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95821" w14:textId="77777777" w:rsidR="007F0E0F" w:rsidRPr="007F0E0F" w:rsidRDefault="007F0E0F" w:rsidP="007F0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якщо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установлений</w:t>
            </w:r>
            <w:proofErr w:type="gram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 органом державного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контролю не видано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дозвіл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відмову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видачі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замовник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звертається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ДІАМ для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вжиття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робочих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видачею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зазначеного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відмовою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видачі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0F36AB54" w14:textId="77777777" w:rsidR="00B67A88" w:rsidRPr="007F0E0F" w:rsidRDefault="007F0E0F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якщо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зазначеного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не буде видано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дозвіл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відмову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видачі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право на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виникає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десятий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робочий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день з дня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письмового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направленого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рекомендованим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листом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кабінет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державну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електронною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системою, до ДІАМ, а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дозвіл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виданим</w:t>
            </w:r>
            <w:proofErr w:type="spellEnd"/>
            <w:r w:rsidRPr="007F0E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19A29015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C7E3C71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1E1611D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DC0F5A0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BCA1374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0E4C5C0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D47875E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AC1F134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54A210A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3AE7403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6263265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41EB899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AB64BB9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18B4EA1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289BB7E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F6EE5E3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672A951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FF02828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B7EB02F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16B008D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4E48B9F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C22C97F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BF4DCA3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9E81EC3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1A32451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7378D87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CF36A86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5B08C18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1A8D0A6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3050205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C6A13F2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5F20B94" w14:textId="77777777" w:rsid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4131F24" w14:textId="77777777" w:rsidR="00B64FC4" w:rsidRPr="00B64FC4" w:rsidRDefault="00B64FC4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E5779DE" w14:textId="77777777" w:rsidR="00BC7A45" w:rsidRPr="00B64FC4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B64FC4">
        <w:rPr>
          <w:rFonts w:ascii="Times New Roman" w:eastAsiaTheme="minorEastAsia" w:hAnsi="Times New Roman" w:cstheme="minorBidi"/>
          <w:b/>
          <w:szCs w:val="20"/>
          <w:lang w:val="uk-UA" w:eastAsia="uk-UA"/>
        </w:rPr>
        <w:lastRenderedPageBreak/>
        <w:t>ТЕХНОЛОГІЧНА КАРТКА (</w:t>
      </w:r>
      <w:r w:rsidR="009567A3" w:rsidRPr="00B64FC4">
        <w:rPr>
          <w:rFonts w:ascii="Times New Roman" w:eastAsiaTheme="minorEastAsia" w:hAnsi="Times New Roman" w:cstheme="minorBidi"/>
          <w:b/>
          <w:szCs w:val="20"/>
          <w:lang w:val="uk-UA" w:eastAsia="uk-UA"/>
        </w:rPr>
        <w:t>10</w:t>
      </w:r>
      <w:r w:rsidR="007F0E0F" w:rsidRPr="00B64FC4">
        <w:rPr>
          <w:rFonts w:ascii="Times New Roman" w:eastAsiaTheme="minorEastAsia" w:hAnsi="Times New Roman" w:cstheme="minorBidi"/>
          <w:b/>
          <w:szCs w:val="20"/>
          <w:lang w:val="en-US" w:eastAsia="uk-UA"/>
        </w:rPr>
        <w:t>9</w:t>
      </w:r>
      <w:r w:rsidRPr="00B64FC4">
        <w:rPr>
          <w:rFonts w:ascii="Times New Roman" w:eastAsiaTheme="minorEastAsia" w:hAnsi="Times New Roman" w:cstheme="minorBidi"/>
          <w:b/>
          <w:szCs w:val="20"/>
          <w:lang w:val="uk-UA" w:eastAsia="uk-UA"/>
        </w:rPr>
        <w:t xml:space="preserve"> – 0</w:t>
      </w:r>
      <w:r w:rsidR="007F0E0F" w:rsidRPr="00B64FC4">
        <w:rPr>
          <w:rFonts w:ascii="Times New Roman" w:eastAsiaTheme="minorEastAsia" w:hAnsi="Times New Roman" w:cstheme="minorBidi"/>
          <w:b/>
          <w:szCs w:val="20"/>
          <w:lang w:val="en-US" w:eastAsia="uk-UA"/>
        </w:rPr>
        <w:t>0137</w:t>
      </w:r>
      <w:r w:rsidRPr="00B64FC4">
        <w:rPr>
          <w:rFonts w:ascii="Times New Roman" w:eastAsiaTheme="minorEastAsia" w:hAnsi="Times New Roman" w:cstheme="minorBidi"/>
          <w:b/>
          <w:szCs w:val="20"/>
          <w:lang w:val="uk-UA" w:eastAsia="uk-UA"/>
        </w:rPr>
        <w:t>)</w:t>
      </w:r>
    </w:p>
    <w:p w14:paraId="1CEAF572" w14:textId="77777777" w:rsidR="00BC7A45" w:rsidRPr="00B64FC4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B64FC4">
        <w:rPr>
          <w:rFonts w:ascii="Times New Roman" w:eastAsiaTheme="minorEastAsia" w:hAnsi="Times New Roman" w:cstheme="minorBidi"/>
          <w:b/>
          <w:szCs w:val="20"/>
          <w:lang w:val="uk-UA" w:eastAsia="uk-UA"/>
        </w:rPr>
        <w:t>АДМІНІСТАРТИВНОЇ ПОСЛУГИ</w:t>
      </w:r>
    </w:p>
    <w:p w14:paraId="7CD6C7F0" w14:textId="77777777" w:rsidR="007E584D" w:rsidRPr="00B64FC4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</w:p>
    <w:p w14:paraId="56C144DD" w14:textId="77777777" w:rsidR="007F0E0F" w:rsidRPr="00B64FC4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4F7BA3BB" w14:textId="77777777" w:rsidR="007F0E0F" w:rsidRPr="00B64FC4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(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щодо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що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класом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)</w:t>
      </w:r>
    </w:p>
    <w:p w14:paraId="554527C8" w14:textId="77777777" w:rsidR="007F0E0F" w:rsidRPr="00B64FC4" w:rsidRDefault="007F0E0F" w:rsidP="007F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(СС2)</w:t>
      </w:r>
      <w:r w:rsidRPr="00B64FC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або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оцінці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впливу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згідно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із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України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оцінку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впливу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B64FC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»)</w:t>
      </w:r>
    </w:p>
    <w:p w14:paraId="5913FE3E" w14:textId="77777777" w:rsidR="007E584D" w:rsidRPr="00B64FC4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64FC4" w14:paraId="441B3570" w14:textId="77777777" w:rsidTr="007964C8">
        <w:trPr>
          <w:tblCellSpacing w:w="20" w:type="dxa"/>
        </w:trPr>
        <w:tc>
          <w:tcPr>
            <w:tcW w:w="751" w:type="dxa"/>
          </w:tcPr>
          <w:p w14:paraId="6F0D8183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b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742E7B7E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b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644892F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b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7E4FA603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b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50A0CE67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b/>
                <w:lang w:val="uk-UA" w:eastAsia="uk-UA"/>
              </w:rPr>
              <w:t>Строк виконання етапів</w:t>
            </w:r>
          </w:p>
        </w:tc>
      </w:tr>
      <w:tr w:rsidR="00BC7A45" w:rsidRPr="00B64FC4" w14:paraId="0126E36A" w14:textId="77777777" w:rsidTr="007964C8">
        <w:trPr>
          <w:tblCellSpacing w:w="20" w:type="dxa"/>
        </w:trPr>
        <w:tc>
          <w:tcPr>
            <w:tcW w:w="751" w:type="dxa"/>
          </w:tcPr>
          <w:p w14:paraId="62DDD25E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72DC4154" w14:textId="77777777" w:rsidR="00BC7A45" w:rsidRPr="00B64FC4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Отримання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замовника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через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електронний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кабінет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засобами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програмного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Єдиного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електронних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послуг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(Портал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Дія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050" w:type="dxa"/>
          </w:tcPr>
          <w:p w14:paraId="06C323E9" w14:textId="77777777" w:rsidR="00BC7A45" w:rsidRPr="00B64FC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Адміністратор</w:t>
            </w:r>
            <w:r w:rsidR="00BC7A45" w:rsidRPr="00B64FC4">
              <w:rPr>
                <w:rFonts w:ascii="Times New Roman" w:hAnsi="Times New Roman" w:cs="Times New Roman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074566CF" w14:textId="77777777" w:rsidR="00BC7A45" w:rsidRPr="00B64F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C85B96B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B64FC4" w14:paraId="2D665866" w14:textId="77777777" w:rsidTr="007964C8">
        <w:trPr>
          <w:tblCellSpacing w:w="20" w:type="dxa"/>
        </w:trPr>
        <w:tc>
          <w:tcPr>
            <w:tcW w:w="751" w:type="dxa"/>
          </w:tcPr>
          <w:p w14:paraId="4BEF0D0F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2CD4D118" w14:textId="77777777" w:rsidR="00BC7A45" w:rsidRPr="00B64FC4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lang w:val="uk-UA" w:eastAsia="zh-CN" w:bidi="hi-IN"/>
              </w:rPr>
            </w:pP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Розгляд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замовником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його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уповноваженою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7B664016" w14:textId="77777777" w:rsidR="00BC7A45" w:rsidRPr="00B64FC4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 xml:space="preserve">Посадова особа </w:t>
            </w:r>
            <w:r w:rsidR="00581EA4" w:rsidRPr="00B64FC4">
              <w:rPr>
                <w:rFonts w:ascii="Times New Roman" w:hAnsi="Times New Roman" w:cs="Times New Roman"/>
                <w:lang w:val="uk-UA" w:eastAsia="uk-UA"/>
              </w:rPr>
              <w:t xml:space="preserve">відділу </w:t>
            </w:r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="00581EA4"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1CB578F1" w14:textId="77777777" w:rsidR="00581EA4" w:rsidRPr="00B64FC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78ED6D38" w14:textId="77777777" w:rsidR="00BC7A45" w:rsidRPr="00B64F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4783FBF9" w14:textId="77777777" w:rsidR="00BC7A45" w:rsidRPr="00B64FC4" w:rsidRDefault="007F0E0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Протягом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десяти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робочих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днів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з дня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реєстрації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заяви</w:t>
            </w:r>
          </w:p>
        </w:tc>
      </w:tr>
      <w:tr w:rsidR="00581EA4" w:rsidRPr="00B64FC4" w14:paraId="762D994D" w14:textId="77777777" w:rsidTr="007964C8">
        <w:trPr>
          <w:tblCellSpacing w:w="20" w:type="dxa"/>
        </w:trPr>
        <w:tc>
          <w:tcPr>
            <w:tcW w:w="751" w:type="dxa"/>
          </w:tcPr>
          <w:p w14:paraId="4A5A0BD5" w14:textId="77777777" w:rsidR="00581EA4" w:rsidRPr="00B64F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7B84CEDB" w14:textId="77777777" w:rsidR="00581EA4" w:rsidRPr="00B64FC4" w:rsidRDefault="007F0E0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Прийняття</w:t>
            </w:r>
            <w:proofErr w:type="spellEnd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рішення</w:t>
            </w:r>
            <w:proofErr w:type="spellEnd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 результат </w:t>
            </w:r>
            <w:proofErr w:type="spellStart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надання</w:t>
            </w:r>
            <w:proofErr w:type="spellEnd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адміністративної</w:t>
            </w:r>
            <w:proofErr w:type="spellEnd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310097A7" w14:textId="77777777" w:rsidR="00581EA4" w:rsidRPr="00B64FC4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П</w:t>
            </w:r>
            <w:r w:rsidR="004B503B" w:rsidRPr="00B64FC4">
              <w:rPr>
                <w:rFonts w:ascii="Times New Roman" w:hAnsi="Times New Roman" w:cs="Times New Roman"/>
                <w:lang w:val="uk-UA" w:eastAsia="uk-UA"/>
              </w:rPr>
              <w:t>осадова особа</w:t>
            </w:r>
            <w:r w:rsidRPr="00B64FC4">
              <w:rPr>
                <w:rFonts w:ascii="Times New Roman" w:hAnsi="Times New Roman" w:cs="Times New Roman"/>
                <w:lang w:val="uk-UA" w:eastAsia="uk-UA"/>
              </w:rPr>
              <w:t xml:space="preserve"> відділу </w:t>
            </w:r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7EC6B150" w14:textId="77777777" w:rsidR="00581EA4" w:rsidRPr="00B64FC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B64FC4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278D4D7D" w14:textId="77777777" w:rsidR="00581EA4" w:rsidRPr="00B64F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72E27EF6" w14:textId="77777777" w:rsidR="00581EA4" w:rsidRPr="00B64FC4" w:rsidRDefault="007F0E0F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Протягом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десяти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робочих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днів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з дня </w:t>
            </w:r>
            <w:proofErr w:type="spellStart"/>
            <w:r w:rsidRPr="00B64FC4">
              <w:rPr>
                <w:rFonts w:ascii="Times New Roman" w:hAnsi="Times New Roman" w:cs="Times New Roman"/>
                <w:lang w:eastAsia="ru-RU"/>
              </w:rPr>
              <w:t>реєстрації</w:t>
            </w:r>
            <w:proofErr w:type="spellEnd"/>
            <w:r w:rsidRPr="00B64FC4">
              <w:rPr>
                <w:rFonts w:ascii="Times New Roman" w:hAnsi="Times New Roman" w:cs="Times New Roman"/>
                <w:lang w:eastAsia="ru-RU"/>
              </w:rPr>
              <w:t xml:space="preserve"> заяви</w:t>
            </w:r>
          </w:p>
        </w:tc>
      </w:tr>
      <w:tr w:rsidR="00581EA4" w:rsidRPr="00B64FC4" w14:paraId="575B2986" w14:textId="77777777" w:rsidTr="007964C8">
        <w:trPr>
          <w:tblCellSpacing w:w="20" w:type="dxa"/>
        </w:trPr>
        <w:tc>
          <w:tcPr>
            <w:tcW w:w="751" w:type="dxa"/>
          </w:tcPr>
          <w:p w14:paraId="4E5F1B94" w14:textId="77777777" w:rsidR="00581EA4" w:rsidRPr="00B64F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31B1D94E" w14:textId="77777777" w:rsidR="00581EA4" w:rsidRPr="00B64FC4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uk-UA" w:eastAsia="zh-CN" w:bidi="hi-IN"/>
              </w:rPr>
            </w:pPr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B64FC4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0EEA4554" w14:textId="77777777" w:rsidR="00581EA4" w:rsidRPr="00B64F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4C725FA3" w14:textId="77777777" w:rsidR="00581EA4" w:rsidRPr="00B64FC4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5ACBCBED" w14:textId="77777777" w:rsidR="00581EA4" w:rsidRPr="00B64FC4" w:rsidRDefault="007F0E0F" w:rsidP="007F0E0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B64FC4">
              <w:rPr>
                <w:rFonts w:ascii="Times New Roman" w:hAnsi="Times New Roman" w:cs="Times New Roman"/>
                <w:lang w:val="uk-UA" w:eastAsia="uk-UA"/>
              </w:rPr>
              <w:t>У день прийняття рішення**</w:t>
            </w:r>
          </w:p>
        </w:tc>
      </w:tr>
    </w:tbl>
    <w:p w14:paraId="5F54DF22" w14:textId="77777777" w:rsidR="005D551E" w:rsidRPr="00B64FC4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5600F2F1" w14:textId="77777777" w:rsidR="007F0E0F" w:rsidRPr="00B64FC4" w:rsidRDefault="007F0E0F" w:rsidP="007F0E0F">
      <w:pPr>
        <w:pStyle w:val="a9"/>
        <w:jc w:val="both"/>
        <w:rPr>
          <w:rFonts w:ascii="Times New Roman" w:hAnsi="Times New Roman"/>
        </w:rPr>
      </w:pPr>
      <w:r w:rsidRPr="00B64FC4">
        <w:rPr>
          <w:rFonts w:ascii="Times New Roman" w:hAnsi="Times New Roman"/>
          <w:lang w:val="uk-UA"/>
        </w:rPr>
        <w:t>**</w:t>
      </w:r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Механізм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оскарження</w:t>
      </w:r>
      <w:proofErr w:type="spellEnd"/>
      <w:r w:rsidRPr="00B64FC4">
        <w:rPr>
          <w:rFonts w:ascii="Times New Roman" w:hAnsi="Times New Roman"/>
        </w:rPr>
        <w:t xml:space="preserve"> результату </w:t>
      </w:r>
      <w:proofErr w:type="spellStart"/>
      <w:r w:rsidRPr="00B64FC4">
        <w:rPr>
          <w:rFonts w:ascii="Times New Roman" w:hAnsi="Times New Roman"/>
        </w:rPr>
        <w:t>надання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адміністративної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послуги</w:t>
      </w:r>
      <w:proofErr w:type="spellEnd"/>
      <w:r w:rsidRPr="00B64FC4">
        <w:rPr>
          <w:rFonts w:ascii="Times New Roman" w:hAnsi="Times New Roman"/>
        </w:rPr>
        <w:t xml:space="preserve">: </w:t>
      </w:r>
      <w:proofErr w:type="spellStart"/>
      <w:r w:rsidRPr="00B64FC4">
        <w:rPr>
          <w:rFonts w:ascii="Times New Roman" w:hAnsi="Times New Roman"/>
        </w:rPr>
        <w:t>рішення</w:t>
      </w:r>
      <w:proofErr w:type="spellEnd"/>
      <w:r w:rsidRPr="00B64FC4">
        <w:rPr>
          <w:rFonts w:ascii="Times New Roman" w:hAnsi="Times New Roman"/>
        </w:rPr>
        <w:t xml:space="preserve"> про </w:t>
      </w:r>
      <w:proofErr w:type="spellStart"/>
      <w:r w:rsidRPr="00B64FC4">
        <w:rPr>
          <w:rFonts w:ascii="Times New Roman" w:hAnsi="Times New Roman"/>
        </w:rPr>
        <w:t>видачу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або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анулювання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дозволу</w:t>
      </w:r>
      <w:proofErr w:type="spellEnd"/>
      <w:r w:rsidRPr="00B64FC4">
        <w:rPr>
          <w:rFonts w:ascii="Times New Roman" w:hAnsi="Times New Roman"/>
        </w:rPr>
        <w:t xml:space="preserve"> на </w:t>
      </w:r>
      <w:proofErr w:type="spellStart"/>
      <w:r w:rsidRPr="00B64FC4">
        <w:rPr>
          <w:rFonts w:ascii="Times New Roman" w:hAnsi="Times New Roman"/>
        </w:rPr>
        <w:t>виконання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будівельних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робіт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може</w:t>
      </w:r>
      <w:proofErr w:type="spellEnd"/>
      <w:r w:rsidRPr="00B64FC4">
        <w:rPr>
          <w:rFonts w:ascii="Times New Roman" w:hAnsi="Times New Roman"/>
        </w:rPr>
        <w:t xml:space="preserve"> бути </w:t>
      </w:r>
      <w:proofErr w:type="spellStart"/>
      <w:r w:rsidRPr="00B64FC4">
        <w:rPr>
          <w:rFonts w:ascii="Times New Roman" w:hAnsi="Times New Roman"/>
        </w:rPr>
        <w:t>розглянуто</w:t>
      </w:r>
      <w:proofErr w:type="spellEnd"/>
      <w:r w:rsidRPr="00B64FC4">
        <w:rPr>
          <w:rFonts w:ascii="Times New Roman" w:hAnsi="Times New Roman"/>
        </w:rPr>
        <w:t xml:space="preserve"> у порядку </w:t>
      </w:r>
      <w:proofErr w:type="spellStart"/>
      <w:r w:rsidRPr="00B64FC4">
        <w:rPr>
          <w:rFonts w:ascii="Times New Roman" w:hAnsi="Times New Roman"/>
        </w:rPr>
        <w:t>нагляду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центральним</w:t>
      </w:r>
      <w:proofErr w:type="spellEnd"/>
      <w:r w:rsidRPr="00B64FC4">
        <w:rPr>
          <w:rFonts w:ascii="Times New Roman" w:hAnsi="Times New Roman"/>
        </w:rPr>
        <w:t xml:space="preserve"> органом </w:t>
      </w:r>
      <w:proofErr w:type="spellStart"/>
      <w:r w:rsidRPr="00B64FC4">
        <w:rPr>
          <w:rFonts w:ascii="Times New Roman" w:hAnsi="Times New Roman"/>
        </w:rPr>
        <w:t>виконавчої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влади</w:t>
      </w:r>
      <w:proofErr w:type="spellEnd"/>
      <w:r w:rsidRPr="00B64FC4">
        <w:rPr>
          <w:rFonts w:ascii="Times New Roman" w:hAnsi="Times New Roman"/>
        </w:rPr>
        <w:t xml:space="preserve">, </w:t>
      </w:r>
      <w:proofErr w:type="spellStart"/>
      <w:r w:rsidRPr="00B64FC4">
        <w:rPr>
          <w:rFonts w:ascii="Times New Roman" w:hAnsi="Times New Roman"/>
        </w:rPr>
        <w:t>що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реалізує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державну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політику</w:t>
      </w:r>
      <w:proofErr w:type="spellEnd"/>
      <w:r w:rsidRPr="00B64FC4">
        <w:rPr>
          <w:rFonts w:ascii="Times New Roman" w:hAnsi="Times New Roman"/>
        </w:rPr>
        <w:t xml:space="preserve"> з </w:t>
      </w:r>
      <w:proofErr w:type="spellStart"/>
      <w:r w:rsidRPr="00B64FC4">
        <w:rPr>
          <w:rFonts w:ascii="Times New Roman" w:hAnsi="Times New Roman"/>
        </w:rPr>
        <w:t>питань</w:t>
      </w:r>
      <w:proofErr w:type="spellEnd"/>
      <w:r w:rsidRPr="00B64FC4">
        <w:rPr>
          <w:rFonts w:ascii="Times New Roman" w:hAnsi="Times New Roman"/>
        </w:rPr>
        <w:t xml:space="preserve"> державного </w:t>
      </w:r>
      <w:proofErr w:type="spellStart"/>
      <w:r w:rsidRPr="00B64FC4">
        <w:rPr>
          <w:rFonts w:ascii="Times New Roman" w:hAnsi="Times New Roman"/>
        </w:rPr>
        <w:t>архітектурно-будівельного</w:t>
      </w:r>
      <w:proofErr w:type="spellEnd"/>
      <w:r w:rsidRPr="00B64FC4">
        <w:rPr>
          <w:rFonts w:ascii="Times New Roman" w:hAnsi="Times New Roman"/>
        </w:rPr>
        <w:t xml:space="preserve"> контролю та </w:t>
      </w:r>
      <w:proofErr w:type="spellStart"/>
      <w:r w:rsidRPr="00B64FC4">
        <w:rPr>
          <w:rFonts w:ascii="Times New Roman" w:hAnsi="Times New Roman"/>
        </w:rPr>
        <w:t>нагляду</w:t>
      </w:r>
      <w:proofErr w:type="spellEnd"/>
      <w:r w:rsidRPr="00B64FC4">
        <w:rPr>
          <w:rFonts w:ascii="Times New Roman" w:hAnsi="Times New Roman"/>
        </w:rPr>
        <w:t xml:space="preserve"> (без права </w:t>
      </w:r>
      <w:proofErr w:type="spellStart"/>
      <w:r w:rsidRPr="00B64FC4">
        <w:rPr>
          <w:rFonts w:ascii="Times New Roman" w:hAnsi="Times New Roman"/>
        </w:rPr>
        <w:t>видачі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дозволу</w:t>
      </w:r>
      <w:proofErr w:type="spellEnd"/>
      <w:r w:rsidRPr="00B64FC4">
        <w:rPr>
          <w:rFonts w:ascii="Times New Roman" w:hAnsi="Times New Roman"/>
        </w:rPr>
        <w:t xml:space="preserve">), </w:t>
      </w:r>
      <w:proofErr w:type="spellStart"/>
      <w:r w:rsidRPr="00B64FC4">
        <w:rPr>
          <w:rFonts w:ascii="Times New Roman" w:hAnsi="Times New Roman"/>
        </w:rPr>
        <w:t>або</w:t>
      </w:r>
      <w:proofErr w:type="spellEnd"/>
      <w:r w:rsidRPr="00B64FC4">
        <w:rPr>
          <w:rFonts w:ascii="Times New Roman" w:hAnsi="Times New Roman"/>
        </w:rPr>
        <w:t xml:space="preserve"> </w:t>
      </w:r>
      <w:proofErr w:type="spellStart"/>
      <w:r w:rsidRPr="00B64FC4">
        <w:rPr>
          <w:rFonts w:ascii="Times New Roman" w:hAnsi="Times New Roman"/>
        </w:rPr>
        <w:t>оскаржено</w:t>
      </w:r>
      <w:proofErr w:type="spellEnd"/>
      <w:r w:rsidRPr="00B64FC4">
        <w:rPr>
          <w:rFonts w:ascii="Times New Roman" w:hAnsi="Times New Roman"/>
        </w:rPr>
        <w:t xml:space="preserve"> до суду.</w:t>
      </w:r>
    </w:p>
    <w:p w14:paraId="3AE78211" w14:textId="77777777" w:rsidR="005D551E" w:rsidRPr="00B64FC4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B64FC4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677533">
    <w:abstractNumId w:val="13"/>
  </w:num>
  <w:num w:numId="2" w16cid:durableId="404185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164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21604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6249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6349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5381375">
    <w:abstractNumId w:val="37"/>
  </w:num>
  <w:num w:numId="8" w16cid:durableId="7228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9008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0710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293865">
    <w:abstractNumId w:val="26"/>
  </w:num>
  <w:num w:numId="12" w16cid:durableId="1081606702">
    <w:abstractNumId w:val="14"/>
  </w:num>
  <w:num w:numId="13" w16cid:durableId="1924797486">
    <w:abstractNumId w:val="23"/>
  </w:num>
  <w:num w:numId="14" w16cid:durableId="263342850">
    <w:abstractNumId w:val="16"/>
  </w:num>
  <w:num w:numId="15" w16cid:durableId="993602731">
    <w:abstractNumId w:val="35"/>
  </w:num>
  <w:num w:numId="16" w16cid:durableId="1386489215">
    <w:abstractNumId w:val="21"/>
  </w:num>
  <w:num w:numId="17" w16cid:durableId="1866168744">
    <w:abstractNumId w:val="18"/>
  </w:num>
  <w:num w:numId="18" w16cid:durableId="1260068438">
    <w:abstractNumId w:val="8"/>
  </w:num>
  <w:num w:numId="19" w16cid:durableId="129398911">
    <w:abstractNumId w:val="39"/>
  </w:num>
  <w:num w:numId="20" w16cid:durableId="391582966">
    <w:abstractNumId w:val="30"/>
  </w:num>
  <w:num w:numId="21" w16cid:durableId="373968307">
    <w:abstractNumId w:val="25"/>
  </w:num>
  <w:num w:numId="22" w16cid:durableId="1497457257">
    <w:abstractNumId w:val="31"/>
  </w:num>
  <w:num w:numId="23" w16cid:durableId="1212768914">
    <w:abstractNumId w:val="19"/>
  </w:num>
  <w:num w:numId="24" w16cid:durableId="1933126336">
    <w:abstractNumId w:val="28"/>
  </w:num>
  <w:num w:numId="25" w16cid:durableId="955984413">
    <w:abstractNumId w:val="29"/>
  </w:num>
  <w:num w:numId="26" w16cid:durableId="764807344">
    <w:abstractNumId w:val="2"/>
  </w:num>
  <w:num w:numId="27" w16cid:durableId="730812584">
    <w:abstractNumId w:val="0"/>
  </w:num>
  <w:num w:numId="28" w16cid:durableId="1289437040">
    <w:abstractNumId w:val="40"/>
  </w:num>
  <w:num w:numId="29" w16cid:durableId="528108482">
    <w:abstractNumId w:val="15"/>
  </w:num>
  <w:num w:numId="30" w16cid:durableId="1707172912">
    <w:abstractNumId w:val="27"/>
  </w:num>
  <w:num w:numId="31" w16cid:durableId="1259288385">
    <w:abstractNumId w:val="9"/>
  </w:num>
  <w:num w:numId="32" w16cid:durableId="1165168550">
    <w:abstractNumId w:val="3"/>
  </w:num>
  <w:num w:numId="33" w16cid:durableId="1557936925">
    <w:abstractNumId w:val="4"/>
  </w:num>
  <w:num w:numId="34" w16cid:durableId="1150319965">
    <w:abstractNumId w:val="7"/>
  </w:num>
  <w:num w:numId="35" w16cid:durableId="1574243416">
    <w:abstractNumId w:val="33"/>
  </w:num>
  <w:num w:numId="36" w16cid:durableId="1195383695">
    <w:abstractNumId w:val="32"/>
  </w:num>
  <w:num w:numId="37" w16cid:durableId="2062904384">
    <w:abstractNumId w:val="20"/>
  </w:num>
  <w:num w:numId="38" w16cid:durableId="444539422">
    <w:abstractNumId w:val="5"/>
  </w:num>
  <w:num w:numId="39" w16cid:durableId="1821073987">
    <w:abstractNumId w:val="12"/>
  </w:num>
  <w:num w:numId="40" w16cid:durableId="1071275087">
    <w:abstractNumId w:val="34"/>
  </w:num>
  <w:num w:numId="41" w16cid:durableId="1369257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500B7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4FC4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A536"/>
  <w15:docId w15:val="{4778A855-3C7C-4DD7-9F2E-A4A9D012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5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D2AA-8342-46A2-857E-49F08901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7596</Words>
  <Characters>4330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11903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27</cp:revision>
  <cp:lastPrinted>2024-06-27T09:00:00Z</cp:lastPrinted>
  <dcterms:created xsi:type="dcterms:W3CDTF">2024-06-02T13:14:00Z</dcterms:created>
  <dcterms:modified xsi:type="dcterms:W3CDTF">2024-06-27T09:01:00Z</dcterms:modified>
</cp:coreProperties>
</file>